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9D1DEC" w:rsidR="00E61DAC" w:rsidRPr="005B217D" w:rsidRDefault="00735925" w:rsidP="00536188">
            <w:pPr>
              <w:tabs>
                <w:tab w:val="left" w:pos="7200"/>
              </w:tabs>
              <w:spacing w:before="0"/>
              <w:rPr>
                <w:b/>
                <w:szCs w:val="22"/>
                <w:lang w:val="en-CA"/>
              </w:rPr>
            </w:pPr>
            <w:r>
              <w:t>3</w:t>
            </w:r>
            <w:r w:rsidR="00FE08C7">
              <w:t>9</w:t>
            </w:r>
            <w:r w:rsidR="008A42F1">
              <w:t>th</w:t>
            </w:r>
            <w:r w:rsidR="00084393" w:rsidRPr="00B648F1">
              <w:t xml:space="preserve"> Meeting</w:t>
            </w:r>
            <w:r w:rsidR="00084393">
              <w:rPr>
                <w:lang w:val="en-CA"/>
              </w:rPr>
              <w:t>,</w:t>
            </w:r>
            <w:r w:rsidR="00084393" w:rsidRPr="00B648F1">
              <w:rPr>
                <w:lang w:val="en-CA"/>
              </w:rPr>
              <w:t xml:space="preserve"> </w:t>
            </w:r>
            <w:r w:rsidR="00FE08C7">
              <w:rPr>
                <w:lang w:val="en-CA"/>
              </w:rPr>
              <w:t>Daejeon</w:t>
            </w:r>
            <w:r w:rsidR="008A42F1">
              <w:rPr>
                <w:lang w:val="en-CA"/>
              </w:rPr>
              <w:t>,</w:t>
            </w:r>
            <w:r w:rsidR="00084393">
              <w:rPr>
                <w:lang w:val="en-CA"/>
              </w:rPr>
              <w:t xml:space="preserve"> </w:t>
            </w:r>
            <w:r w:rsidR="00FE08C7">
              <w:rPr>
                <w:lang w:val="en-CA"/>
              </w:rPr>
              <w:t xml:space="preserve">KR, </w:t>
            </w:r>
            <w:r w:rsidR="00607AE1">
              <w:rPr>
                <w:lang w:val="en-CA"/>
              </w:rPr>
              <w:t xml:space="preserve">26 </w:t>
            </w:r>
            <w:r w:rsidR="00FE08C7">
              <w:rPr>
                <w:lang w:val="en-CA"/>
              </w:rPr>
              <w:t>June</w:t>
            </w:r>
            <w:r w:rsidR="00607AE1">
              <w:rPr>
                <w:lang w:val="en-CA"/>
              </w:rPr>
              <w:t xml:space="preserve"> </w:t>
            </w:r>
            <w:r w:rsidR="00084393">
              <w:rPr>
                <w:lang w:val="en-CA"/>
              </w:rPr>
              <w:t>–</w:t>
            </w:r>
            <w:r w:rsidR="00607AE1">
              <w:rPr>
                <w:lang w:val="en-CA"/>
              </w:rPr>
              <w:t xml:space="preserve"> 4</w:t>
            </w:r>
            <w:r w:rsidR="00084393" w:rsidRPr="00B648F1">
              <w:rPr>
                <w:lang w:val="en-CA"/>
              </w:rPr>
              <w:t xml:space="preserve"> </w:t>
            </w:r>
            <w:r w:rsidR="00FE08C7">
              <w:rPr>
                <w:lang w:val="en-CA"/>
              </w:rPr>
              <w:t>July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2B84E7CC"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FE08C7">
              <w:rPr>
                <w:lang w:val="en-CA"/>
              </w:rPr>
              <w:t>M</w:t>
            </w:r>
            <w:r w:rsidR="00A87F19">
              <w:rPr>
                <w:lang w:val="en-CA"/>
              </w:rPr>
              <w:t>0215</w:t>
            </w:r>
            <w:r w:rsidR="006A0E5C" w:rsidRPr="006A0E5C">
              <w:rPr>
                <w:lang w:val="en-CA"/>
              </w:rPr>
              <w:t>-v</w:t>
            </w:r>
            <w:r w:rsidR="00A87F19">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6109A2B" w:rsidR="00E61DAC" w:rsidRPr="005B217D" w:rsidRDefault="009856FA" w:rsidP="009D7CE6">
            <w:pPr>
              <w:spacing w:before="60" w:after="60"/>
              <w:rPr>
                <w:b/>
                <w:szCs w:val="22"/>
                <w:lang w:val="en-CA"/>
              </w:rPr>
            </w:pPr>
            <w:r>
              <w:rPr>
                <w:b/>
                <w:szCs w:val="22"/>
                <w:lang w:val="en-CA"/>
              </w:rPr>
              <w:t>EE2-2.</w:t>
            </w:r>
            <w:r w:rsidR="000077DF">
              <w:rPr>
                <w:b/>
                <w:szCs w:val="22"/>
                <w:lang w:val="en-CA"/>
              </w:rPr>
              <w:t xml:space="preserve">2: </w:t>
            </w:r>
            <w:r w:rsidR="00DC0848" w:rsidRPr="00DC0848">
              <w:rPr>
                <w:b/>
                <w:szCs w:val="22"/>
                <w:lang w:val="en-CA"/>
              </w:rPr>
              <w:t>Regression-based GPM intra-inter prediction modification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6F1F5FA"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90D594C"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15C404E9" w:rsidR="00E61DAC" w:rsidRPr="009856FA" w:rsidRDefault="001A4555">
            <w:pPr>
              <w:spacing w:before="60" w:after="60"/>
              <w:rPr>
                <w:szCs w:val="22"/>
                <w:lang w:val="sv-SE"/>
              </w:rPr>
            </w:pPr>
            <w:r w:rsidRPr="009856FA">
              <w:rPr>
                <w:szCs w:val="22"/>
                <w:lang w:val="sv-SE"/>
              </w:rPr>
              <w:t>Ruoyang Yu</w:t>
            </w:r>
            <w:r w:rsidR="00E61DAC" w:rsidRPr="009856FA">
              <w:rPr>
                <w:szCs w:val="22"/>
                <w:lang w:val="sv-SE"/>
              </w:rPr>
              <w:br/>
            </w:r>
            <w:r w:rsidR="00C57694" w:rsidRPr="009856FA">
              <w:rPr>
                <w:szCs w:val="22"/>
                <w:lang w:val="sv-SE"/>
              </w:rPr>
              <w:t>Vadim Seregin</w:t>
            </w:r>
            <w:r w:rsidR="00E61DAC" w:rsidRPr="009856FA">
              <w:rPr>
                <w:szCs w:val="22"/>
                <w:lang w:val="sv-SE"/>
              </w:rPr>
              <w:br/>
            </w:r>
            <w:r w:rsidR="006669E7" w:rsidRPr="009856FA">
              <w:rPr>
                <w:szCs w:val="22"/>
                <w:lang w:val="sv-SE"/>
              </w:rPr>
              <w:t>Marta Karczewicz</w:t>
            </w:r>
            <w:r w:rsidR="00E61DAC" w:rsidRPr="009856FA">
              <w:rPr>
                <w:szCs w:val="22"/>
                <w:lang w:val="sv-SE"/>
              </w:rPr>
              <w:br/>
            </w:r>
          </w:p>
        </w:tc>
        <w:tc>
          <w:tcPr>
            <w:tcW w:w="900" w:type="dxa"/>
          </w:tcPr>
          <w:p w14:paraId="0140ECA2" w14:textId="0C61CF0F" w:rsidR="00E61DAC" w:rsidRPr="005B217D" w:rsidRDefault="00E61DAC">
            <w:pPr>
              <w:spacing w:before="60" w:after="60"/>
              <w:rPr>
                <w:szCs w:val="22"/>
                <w:lang w:val="en-CA"/>
              </w:rPr>
            </w:pPr>
            <w:r w:rsidRPr="005B217D">
              <w:rPr>
                <w:szCs w:val="22"/>
                <w:lang w:val="en-CA"/>
              </w:rPr>
              <w:t>Email:</w:t>
            </w:r>
          </w:p>
        </w:tc>
        <w:tc>
          <w:tcPr>
            <w:tcW w:w="3060" w:type="dxa"/>
          </w:tcPr>
          <w:p w14:paraId="32C2ABFD" w14:textId="00E0160E" w:rsidR="00E61DAC" w:rsidRPr="005B217D" w:rsidRDefault="003A367D" w:rsidP="005952A5">
            <w:pPr>
              <w:spacing w:before="60" w:after="60"/>
              <w:rPr>
                <w:szCs w:val="22"/>
                <w:lang w:val="en-CA"/>
              </w:rPr>
            </w:pPr>
            <w:hyperlink r:id="rId9" w:history="1">
              <w:r w:rsidRPr="00DB1FB0">
                <w:rPr>
                  <w:rStyle w:val="Hyperlink"/>
                  <w:szCs w:val="22"/>
                  <w:lang w:val="en-CA"/>
                </w:rPr>
                <w:t>ruoyyu@qti.qualcomm.com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7385397" w:rsidR="00E61DAC" w:rsidRPr="005B217D" w:rsidRDefault="00120B00">
            <w:pPr>
              <w:spacing w:before="60" w:after="60"/>
              <w:rPr>
                <w:szCs w:val="22"/>
                <w:lang w:val="en-CA"/>
              </w:rPr>
            </w:pPr>
            <w:r w:rsidRPr="00120B00">
              <w:rPr>
                <w:szCs w:val="22"/>
                <w:lang w:val="en-CA"/>
              </w:rPr>
              <w:t>Qualcomm Incorporated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832679A" w14:textId="77777777" w:rsidR="00E758BA" w:rsidRDefault="009E6A00" w:rsidP="00E97A84">
      <w:pPr>
        <w:rPr>
          <w:lang w:val="en-CA"/>
        </w:rPr>
      </w:pPr>
      <w:r>
        <w:rPr>
          <w:lang w:val="en-CA"/>
        </w:rPr>
        <w:t xml:space="preserve">This contribution reports results of EE2 Test 2.2 </w:t>
      </w:r>
      <w:r w:rsidR="00973F56">
        <w:rPr>
          <w:lang w:val="en-CA"/>
        </w:rPr>
        <w:t>on regression-based GPM intra-inter prediction modification</w:t>
      </w:r>
      <w:r>
        <w:rPr>
          <w:lang w:val="en-CA"/>
        </w:rPr>
        <w:t>.</w:t>
      </w:r>
    </w:p>
    <w:p w14:paraId="26611644" w14:textId="77777777" w:rsidR="00E758BA" w:rsidRDefault="00D32590" w:rsidP="00E97A84">
      <w:pPr>
        <w:rPr>
          <w:lang w:val="en-CA"/>
        </w:rPr>
      </w:pPr>
      <w:r>
        <w:rPr>
          <w:lang w:val="en-CA"/>
        </w:rPr>
        <w:t xml:space="preserve">In </w:t>
      </w:r>
      <w:r w:rsidR="00AA6DB6">
        <w:rPr>
          <w:lang w:val="en-CA"/>
        </w:rPr>
        <w:t xml:space="preserve">EE2 </w:t>
      </w:r>
      <w:r>
        <w:rPr>
          <w:lang w:val="en-CA"/>
        </w:rPr>
        <w:t xml:space="preserve">Test 2.2a, </w:t>
      </w:r>
      <w:r w:rsidR="00A00AB8">
        <w:rPr>
          <w:lang w:val="en-CA"/>
        </w:rPr>
        <w:t xml:space="preserve">regression-based blending </w:t>
      </w:r>
      <w:r w:rsidR="00014178">
        <w:rPr>
          <w:lang w:val="en-CA"/>
        </w:rPr>
        <w:t>weights</w:t>
      </w:r>
      <w:r w:rsidR="00F666CC">
        <w:rPr>
          <w:lang w:val="en-CA"/>
        </w:rPr>
        <w:t xml:space="preserve"> derivation </w:t>
      </w:r>
      <w:r w:rsidR="00A00AB8">
        <w:rPr>
          <w:lang w:val="en-CA"/>
        </w:rPr>
        <w:t xml:space="preserve">and </w:t>
      </w:r>
      <w:r w:rsidR="0037266D">
        <w:rPr>
          <w:lang w:val="en-CA"/>
        </w:rPr>
        <w:t xml:space="preserve">prediction sample </w:t>
      </w:r>
      <w:r w:rsidR="00392455">
        <w:rPr>
          <w:lang w:val="en-CA"/>
        </w:rPr>
        <w:t xml:space="preserve">blending are carried out in the original sample domain. In </w:t>
      </w:r>
      <w:r w:rsidR="00AA6DB6">
        <w:rPr>
          <w:lang w:val="en-CA"/>
        </w:rPr>
        <w:t xml:space="preserve">EE2 </w:t>
      </w:r>
      <w:r w:rsidR="00392455">
        <w:rPr>
          <w:lang w:val="en-CA"/>
        </w:rPr>
        <w:t xml:space="preserve">Test 2.2b, regression-based blending </w:t>
      </w:r>
      <w:r w:rsidR="00BE7107">
        <w:rPr>
          <w:lang w:val="en-CA"/>
        </w:rPr>
        <w:t>weights</w:t>
      </w:r>
      <w:r w:rsidR="00392455">
        <w:rPr>
          <w:lang w:val="en-CA"/>
        </w:rPr>
        <w:t xml:space="preserve"> derivation and </w:t>
      </w:r>
      <w:r w:rsidR="0007766F">
        <w:rPr>
          <w:lang w:val="en-CA"/>
        </w:rPr>
        <w:t>prediction</w:t>
      </w:r>
      <w:r w:rsidR="00392455">
        <w:rPr>
          <w:lang w:val="en-CA"/>
        </w:rPr>
        <w:t xml:space="preserve"> blending are carried out in the LMCS sample domain.</w:t>
      </w:r>
    </w:p>
    <w:p w14:paraId="309AF611" w14:textId="09B95791" w:rsidR="00E97A84" w:rsidRDefault="00E97A84" w:rsidP="00E97A84">
      <w:pPr>
        <w:rPr>
          <w:lang w:val="en-CA"/>
        </w:rPr>
      </w:pPr>
      <w:r>
        <w:rPr>
          <w:lang w:val="en-CA"/>
        </w:rPr>
        <w:t xml:space="preserve">The two subtests are reported to be carried out on top of ECM-17.0 under ECM RA </w:t>
      </w:r>
      <w:r w:rsidR="00CE38AF">
        <w:rPr>
          <w:lang w:val="en-CA"/>
        </w:rPr>
        <w:t>CTC</w:t>
      </w:r>
      <w:r>
        <w:rPr>
          <w:lang w:val="en-CA"/>
        </w:rPr>
        <w:t>. The BD-rate PSNR impact and run-time numbers are reported as follows:</w:t>
      </w:r>
    </w:p>
    <w:p w14:paraId="502BB0A6" w14:textId="78FE7758" w:rsidR="005C4EF3" w:rsidRPr="005C4EF3" w:rsidRDefault="005C4EF3" w:rsidP="005C4EF3">
      <w:pPr>
        <w:rPr>
          <w:szCs w:val="22"/>
          <w:lang w:val="en-CA"/>
        </w:rPr>
      </w:pPr>
      <w:r w:rsidRPr="005C4EF3">
        <w:rPr>
          <w:szCs w:val="22"/>
          <w:lang w:val="en-CA"/>
        </w:rPr>
        <w:t>Test 2.</w:t>
      </w:r>
      <w:r>
        <w:rPr>
          <w:szCs w:val="22"/>
          <w:lang w:val="en-CA"/>
        </w:rPr>
        <w:t>2</w:t>
      </w:r>
      <w:r w:rsidRPr="005C4EF3">
        <w:rPr>
          <w:szCs w:val="22"/>
          <w:lang w:val="en-CA"/>
        </w:rPr>
        <w:t>a:</w:t>
      </w:r>
      <w:r w:rsidR="007431BD">
        <w:rPr>
          <w:szCs w:val="22"/>
          <w:lang w:val="en-CA"/>
        </w:rPr>
        <w:t xml:space="preserve"> </w:t>
      </w:r>
      <w:r w:rsidRPr="005C4EF3">
        <w:rPr>
          <w:szCs w:val="22"/>
          <w:lang w:val="en-CA"/>
        </w:rPr>
        <w:t xml:space="preserve">RA: </w:t>
      </w:r>
      <w:r w:rsidR="001E055C" w:rsidRPr="001E055C">
        <w:rPr>
          <w:szCs w:val="22"/>
          <w:lang w:val="en-CA"/>
        </w:rPr>
        <w:t>-0.03</w:t>
      </w:r>
      <w:r w:rsidR="001E055C">
        <w:rPr>
          <w:szCs w:val="22"/>
          <w:lang w:val="en-CA"/>
        </w:rPr>
        <w:t>%</w:t>
      </w:r>
      <w:r w:rsidR="007431BD">
        <w:rPr>
          <w:szCs w:val="22"/>
          <w:lang w:val="en-CA"/>
        </w:rPr>
        <w:t xml:space="preserve"> (Y)</w:t>
      </w:r>
      <w:r w:rsidR="001E055C">
        <w:rPr>
          <w:szCs w:val="22"/>
          <w:lang w:val="en-CA"/>
        </w:rPr>
        <w:t xml:space="preserve">, </w:t>
      </w:r>
      <w:r w:rsidR="001E055C" w:rsidRPr="001E055C">
        <w:rPr>
          <w:szCs w:val="22"/>
          <w:lang w:val="en-CA"/>
        </w:rPr>
        <w:t>-0.03%</w:t>
      </w:r>
      <w:r w:rsidR="007431BD">
        <w:rPr>
          <w:szCs w:val="22"/>
          <w:lang w:val="en-CA"/>
        </w:rPr>
        <w:t xml:space="preserve"> (U)</w:t>
      </w:r>
      <w:r w:rsidR="001E055C">
        <w:rPr>
          <w:szCs w:val="22"/>
          <w:lang w:val="en-CA"/>
        </w:rPr>
        <w:t xml:space="preserve">, </w:t>
      </w:r>
      <w:r w:rsidR="001E055C" w:rsidRPr="001E055C">
        <w:rPr>
          <w:szCs w:val="22"/>
          <w:lang w:val="en-CA"/>
        </w:rPr>
        <w:t>0.03%</w:t>
      </w:r>
      <w:r w:rsidR="007431BD">
        <w:rPr>
          <w:szCs w:val="22"/>
          <w:lang w:val="en-CA"/>
        </w:rPr>
        <w:t xml:space="preserve"> (V)</w:t>
      </w:r>
      <w:r w:rsidR="001E055C">
        <w:rPr>
          <w:szCs w:val="22"/>
          <w:lang w:val="en-CA"/>
        </w:rPr>
        <w:t xml:space="preserve">; </w:t>
      </w:r>
      <w:r w:rsidR="001E055C" w:rsidRPr="001E055C">
        <w:rPr>
          <w:szCs w:val="22"/>
          <w:lang w:val="en-CA"/>
        </w:rPr>
        <w:t>99.9%</w:t>
      </w:r>
      <w:r w:rsidR="007431BD">
        <w:rPr>
          <w:szCs w:val="22"/>
          <w:lang w:val="en-CA"/>
        </w:rPr>
        <w:t xml:space="preserve"> (EncT)</w:t>
      </w:r>
      <w:r w:rsidR="001E055C">
        <w:rPr>
          <w:szCs w:val="22"/>
          <w:lang w:val="en-CA"/>
        </w:rPr>
        <w:t xml:space="preserve">, </w:t>
      </w:r>
      <w:r w:rsidR="001E055C" w:rsidRPr="001E055C">
        <w:rPr>
          <w:szCs w:val="22"/>
          <w:lang w:val="en-CA"/>
        </w:rPr>
        <w:t>100.0%</w:t>
      </w:r>
      <w:r w:rsidR="007431BD">
        <w:rPr>
          <w:szCs w:val="22"/>
          <w:lang w:val="en-CA"/>
        </w:rPr>
        <w:t xml:space="preserve"> (DecT)</w:t>
      </w:r>
    </w:p>
    <w:p w14:paraId="324B4406" w14:textId="48C9DCCA" w:rsidR="005C4EF3" w:rsidRPr="005C4EF3" w:rsidRDefault="005C4EF3" w:rsidP="005C4EF3">
      <w:pPr>
        <w:rPr>
          <w:szCs w:val="22"/>
          <w:lang w:val="en-CA"/>
        </w:rPr>
      </w:pPr>
      <w:r w:rsidRPr="005C4EF3">
        <w:rPr>
          <w:szCs w:val="22"/>
          <w:lang w:val="en-CA"/>
        </w:rPr>
        <w:t>Test 2.</w:t>
      </w:r>
      <w:r>
        <w:rPr>
          <w:szCs w:val="22"/>
          <w:lang w:val="en-CA"/>
        </w:rPr>
        <w:t>2</w:t>
      </w:r>
      <w:r w:rsidRPr="005C4EF3">
        <w:rPr>
          <w:szCs w:val="22"/>
          <w:lang w:val="en-CA"/>
        </w:rPr>
        <w:t>b:</w:t>
      </w:r>
      <w:r w:rsidR="007431BD">
        <w:rPr>
          <w:szCs w:val="22"/>
          <w:lang w:val="en-CA"/>
        </w:rPr>
        <w:t xml:space="preserve"> </w:t>
      </w:r>
      <w:r w:rsidRPr="005C4EF3">
        <w:rPr>
          <w:szCs w:val="22"/>
          <w:lang w:val="en-CA"/>
        </w:rPr>
        <w:t xml:space="preserve">RA: </w:t>
      </w:r>
      <w:r w:rsidR="001E055C" w:rsidRPr="001E055C">
        <w:rPr>
          <w:szCs w:val="22"/>
          <w:lang w:val="en-CA"/>
        </w:rPr>
        <w:t>-0.02%</w:t>
      </w:r>
      <w:r w:rsidR="007431BD">
        <w:rPr>
          <w:szCs w:val="22"/>
          <w:lang w:val="en-CA"/>
        </w:rPr>
        <w:t xml:space="preserve"> (Y), </w:t>
      </w:r>
      <w:r w:rsidR="001E055C" w:rsidRPr="001E055C">
        <w:rPr>
          <w:szCs w:val="22"/>
          <w:lang w:val="en-CA"/>
        </w:rPr>
        <w:t>-0.01%</w:t>
      </w:r>
      <w:r w:rsidR="007431BD">
        <w:rPr>
          <w:szCs w:val="22"/>
          <w:lang w:val="en-CA"/>
        </w:rPr>
        <w:t xml:space="preserve"> (U), </w:t>
      </w:r>
      <w:r w:rsidR="001E055C" w:rsidRPr="001E055C">
        <w:rPr>
          <w:szCs w:val="22"/>
          <w:lang w:val="en-CA"/>
        </w:rPr>
        <w:t>0.04%</w:t>
      </w:r>
      <w:r w:rsidR="007431BD">
        <w:rPr>
          <w:szCs w:val="22"/>
          <w:lang w:val="en-CA"/>
        </w:rPr>
        <w:t xml:space="preserve"> (V); </w:t>
      </w:r>
      <w:r w:rsidR="001E055C" w:rsidRPr="001E055C">
        <w:rPr>
          <w:szCs w:val="22"/>
          <w:lang w:val="en-CA"/>
        </w:rPr>
        <w:t>99.8%</w:t>
      </w:r>
      <w:r w:rsidR="007431BD">
        <w:rPr>
          <w:szCs w:val="22"/>
          <w:lang w:val="en-CA"/>
        </w:rPr>
        <w:t xml:space="preserve"> (EncT), </w:t>
      </w:r>
      <w:r w:rsidR="001E055C" w:rsidRPr="001E055C">
        <w:rPr>
          <w:szCs w:val="22"/>
          <w:lang w:val="en-CA"/>
        </w:rPr>
        <w:t>99.9%</w:t>
      </w:r>
      <w:r w:rsidRPr="005C4EF3">
        <w:rPr>
          <w:szCs w:val="22"/>
          <w:lang w:val="en-CA"/>
        </w:rPr>
        <w:t xml:space="preserve"> (DecT)</w:t>
      </w:r>
    </w:p>
    <w:p w14:paraId="1F702BB4" w14:textId="291E300A" w:rsidR="000E553A" w:rsidRDefault="00E97A84" w:rsidP="005C4EF3">
      <w:pPr>
        <w:rPr>
          <w:lang w:val="en-CA"/>
        </w:rPr>
      </w:pPr>
      <w:r>
        <w:rPr>
          <w:lang w:val="en-CA"/>
        </w:rPr>
        <w:t xml:space="preserve">It should be noted that LDB </w:t>
      </w:r>
      <w:r w:rsidR="00CE38AF">
        <w:rPr>
          <w:lang w:val="en-CA"/>
        </w:rPr>
        <w:t>CTC is not tested here, since the regression-based GPM intra-inter prediction is disabled in LDB CTC.</w:t>
      </w:r>
    </w:p>
    <w:p w14:paraId="7D2AC1F0" w14:textId="1CB822CE" w:rsidR="00745F6B" w:rsidRPr="005B217D" w:rsidRDefault="00745F6B" w:rsidP="00E11923">
      <w:pPr>
        <w:pStyle w:val="Heading1"/>
        <w:rPr>
          <w:lang w:val="en-CA"/>
        </w:rPr>
      </w:pPr>
      <w:r w:rsidRPr="005B217D">
        <w:rPr>
          <w:lang w:val="en-CA"/>
        </w:rPr>
        <w:t>Introduction</w:t>
      </w:r>
    </w:p>
    <w:p w14:paraId="1B330832" w14:textId="755F0DF0" w:rsidR="0024122B" w:rsidRDefault="00DB6EE0" w:rsidP="0024122B">
      <w:pPr>
        <w:rPr>
          <w:szCs w:val="22"/>
          <w:lang w:val="en-CA"/>
        </w:rPr>
      </w:pPr>
      <w:r>
        <w:rPr>
          <w:szCs w:val="22"/>
          <w:lang w:val="en-CA"/>
        </w:rPr>
        <w:t xml:space="preserve">In the </w:t>
      </w:r>
      <w:r w:rsidR="00470B29">
        <w:rPr>
          <w:szCs w:val="22"/>
          <w:lang w:val="en-CA"/>
        </w:rPr>
        <w:t>current regression-based GPM intra-inter prediction</w:t>
      </w:r>
      <w:r w:rsidR="00A85B8F">
        <w:rPr>
          <w:szCs w:val="22"/>
          <w:lang w:val="en-CA"/>
        </w:rPr>
        <w:t xml:space="preserve"> design</w:t>
      </w:r>
      <w:r>
        <w:rPr>
          <w:szCs w:val="22"/>
          <w:lang w:val="en-CA"/>
        </w:rPr>
        <w:t xml:space="preserve">, </w:t>
      </w:r>
      <w:r w:rsidR="0024122B">
        <w:rPr>
          <w:szCs w:val="22"/>
          <w:lang w:val="en-CA"/>
        </w:rPr>
        <w:t xml:space="preserve">the blending </w:t>
      </w:r>
      <w:r w:rsidR="007D1955">
        <w:rPr>
          <w:szCs w:val="22"/>
          <w:lang w:val="en-CA"/>
        </w:rPr>
        <w:t>weights</w:t>
      </w:r>
      <w:r w:rsidR="0024122B">
        <w:rPr>
          <w:szCs w:val="22"/>
          <w:lang w:val="en-CA"/>
        </w:rPr>
        <w:t xml:space="preserve"> derivation utilizes intra and inter prediction samples of the template from different domain when LMCS is enabled. Specifically, during the blending </w:t>
      </w:r>
      <w:r w:rsidR="003272EE">
        <w:rPr>
          <w:szCs w:val="22"/>
          <w:lang w:val="en-CA"/>
        </w:rPr>
        <w:t xml:space="preserve">weights </w:t>
      </w:r>
      <w:r w:rsidR="0024122B">
        <w:rPr>
          <w:szCs w:val="22"/>
          <w:lang w:val="en-CA"/>
        </w:rPr>
        <w:t xml:space="preserve">derivation, intra prediction samples of the template are kept in the LMCS domain, inter prediction samples of the template are kept in the original domain while the reconstructed samples of the template are mapped back to the original domain. </w:t>
      </w:r>
      <w:r w:rsidR="003272EE">
        <w:rPr>
          <w:szCs w:val="22"/>
          <w:lang w:val="en-CA"/>
        </w:rPr>
        <w:t>The derived</w:t>
      </w:r>
      <w:r w:rsidR="0024122B">
        <w:rPr>
          <w:szCs w:val="22"/>
          <w:lang w:val="en-CA"/>
        </w:rPr>
        <w:t xml:space="preserve"> blending</w:t>
      </w:r>
      <w:r w:rsidR="003272EE">
        <w:rPr>
          <w:szCs w:val="22"/>
          <w:lang w:val="en-CA"/>
        </w:rPr>
        <w:t xml:space="preserve"> weights</w:t>
      </w:r>
      <w:r w:rsidR="0024122B">
        <w:rPr>
          <w:szCs w:val="22"/>
          <w:lang w:val="en-CA"/>
        </w:rPr>
        <w:t xml:space="preserve"> </w:t>
      </w:r>
      <w:r w:rsidR="003272EE">
        <w:rPr>
          <w:szCs w:val="22"/>
          <w:lang w:val="en-CA"/>
        </w:rPr>
        <w:t>are used for</w:t>
      </w:r>
      <w:r w:rsidR="0024122B">
        <w:rPr>
          <w:szCs w:val="22"/>
          <w:lang w:val="en-CA"/>
        </w:rPr>
        <w:t xml:space="preserve"> </w:t>
      </w:r>
      <w:r w:rsidR="0081145F">
        <w:rPr>
          <w:szCs w:val="22"/>
          <w:lang w:val="en-CA"/>
        </w:rPr>
        <w:t>blend</w:t>
      </w:r>
      <w:r w:rsidR="003272EE">
        <w:rPr>
          <w:szCs w:val="22"/>
          <w:lang w:val="en-CA"/>
        </w:rPr>
        <w:t xml:space="preserve">ing </w:t>
      </w:r>
      <w:r w:rsidR="0024122B">
        <w:rPr>
          <w:szCs w:val="22"/>
          <w:lang w:val="en-CA"/>
        </w:rPr>
        <w:t xml:space="preserve">the current intra and inter prediction samples, however, before blending, the current inter prediction samples are mapped to the LMCS domain. Thus, the </w:t>
      </w:r>
      <w:r w:rsidR="00BF62C4">
        <w:rPr>
          <w:szCs w:val="22"/>
          <w:lang w:val="en-CA"/>
        </w:rPr>
        <w:t xml:space="preserve">prediction sample blending </w:t>
      </w:r>
      <w:r w:rsidR="0024122B">
        <w:rPr>
          <w:szCs w:val="22"/>
          <w:lang w:val="en-CA"/>
        </w:rPr>
        <w:t>occur</w:t>
      </w:r>
      <w:r w:rsidR="00BF62C4">
        <w:rPr>
          <w:szCs w:val="22"/>
          <w:lang w:val="en-CA"/>
        </w:rPr>
        <w:t>s</w:t>
      </w:r>
      <w:r w:rsidR="0024122B">
        <w:rPr>
          <w:szCs w:val="22"/>
          <w:lang w:val="en-CA"/>
        </w:rPr>
        <w:t xml:space="preserve"> in different domains than the domain where the blending </w:t>
      </w:r>
      <w:r w:rsidR="00BF62C4">
        <w:rPr>
          <w:szCs w:val="22"/>
          <w:lang w:val="en-CA"/>
        </w:rPr>
        <w:t>weights</w:t>
      </w:r>
      <w:r w:rsidR="0024122B">
        <w:rPr>
          <w:szCs w:val="22"/>
          <w:lang w:val="en-CA"/>
        </w:rPr>
        <w:t xml:space="preserve"> </w:t>
      </w:r>
      <w:r w:rsidR="00BF62C4">
        <w:rPr>
          <w:szCs w:val="22"/>
          <w:lang w:val="en-CA"/>
        </w:rPr>
        <w:t>were</w:t>
      </w:r>
      <w:r w:rsidR="0024122B">
        <w:rPr>
          <w:szCs w:val="22"/>
          <w:lang w:val="en-CA"/>
        </w:rPr>
        <w:t xml:space="preserve"> derived.</w:t>
      </w:r>
    </w:p>
    <w:p w14:paraId="53CDA173" w14:textId="1E1D642E" w:rsidR="006D7065" w:rsidRDefault="006D7065" w:rsidP="0024122B">
      <w:pPr>
        <w:rPr>
          <w:szCs w:val="22"/>
          <w:lang w:val="en-CA"/>
        </w:rPr>
      </w:pPr>
      <w:r>
        <w:rPr>
          <w:szCs w:val="22"/>
          <w:lang w:val="en-CA"/>
        </w:rPr>
        <w:t>In JVET-A</w:t>
      </w:r>
      <w:r w:rsidR="005D2FE4">
        <w:rPr>
          <w:szCs w:val="22"/>
          <w:lang w:val="en-CA"/>
        </w:rPr>
        <w:t>L</w:t>
      </w:r>
      <w:r>
        <w:rPr>
          <w:szCs w:val="22"/>
          <w:lang w:val="en-CA"/>
        </w:rPr>
        <w:t>0082</w:t>
      </w:r>
      <w:r w:rsidR="00F60A3E">
        <w:rPr>
          <w:szCs w:val="22"/>
          <w:lang w:val="en-CA"/>
        </w:rPr>
        <w:t xml:space="preserve"> [1]</w:t>
      </w:r>
      <w:r>
        <w:rPr>
          <w:szCs w:val="22"/>
          <w:lang w:val="en-CA"/>
        </w:rPr>
        <w:t xml:space="preserve">, two alternatives were proposed to address the asserted </w:t>
      </w:r>
      <w:r w:rsidR="00466963">
        <w:rPr>
          <w:szCs w:val="22"/>
          <w:lang w:val="en-CA"/>
        </w:rPr>
        <w:t>inconsistencies</w:t>
      </w:r>
      <w:r w:rsidR="007D6700">
        <w:rPr>
          <w:szCs w:val="22"/>
          <w:lang w:val="en-CA"/>
        </w:rPr>
        <w:t xml:space="preserve"> above</w:t>
      </w:r>
      <w:r w:rsidR="00187429">
        <w:rPr>
          <w:szCs w:val="22"/>
          <w:lang w:val="en-CA"/>
        </w:rPr>
        <w:t xml:space="preserve"> and were </w:t>
      </w:r>
      <w:r w:rsidR="0058775B">
        <w:rPr>
          <w:szCs w:val="22"/>
          <w:lang w:val="en-CA"/>
        </w:rPr>
        <w:t>included in the EE2 Test 2.2 for further evaluation.</w:t>
      </w:r>
    </w:p>
    <w:p w14:paraId="749D0D80" w14:textId="20FA891F" w:rsidR="0024122B" w:rsidRDefault="00962779" w:rsidP="0024122B">
      <w:pPr>
        <w:rPr>
          <w:szCs w:val="22"/>
          <w:lang w:val="en-CA"/>
        </w:rPr>
      </w:pPr>
      <w:r>
        <w:rPr>
          <w:szCs w:val="22"/>
          <w:lang w:val="en-CA"/>
        </w:rPr>
        <w:t xml:space="preserve">In Test 2.2a, </w:t>
      </w:r>
      <w:r w:rsidR="0024122B">
        <w:rPr>
          <w:szCs w:val="22"/>
          <w:lang w:val="en-CA"/>
        </w:rPr>
        <w:t xml:space="preserve">blending </w:t>
      </w:r>
      <w:r w:rsidR="001200F4">
        <w:rPr>
          <w:szCs w:val="22"/>
          <w:lang w:val="en-CA"/>
        </w:rPr>
        <w:t>weights</w:t>
      </w:r>
      <w:r w:rsidR="0024122B">
        <w:rPr>
          <w:szCs w:val="22"/>
          <w:lang w:val="en-CA"/>
        </w:rPr>
        <w:t xml:space="preserve"> derivation </w:t>
      </w:r>
      <w:r w:rsidR="0007766F">
        <w:rPr>
          <w:szCs w:val="22"/>
          <w:lang w:val="en-CA"/>
        </w:rPr>
        <w:t xml:space="preserve">and </w:t>
      </w:r>
      <w:r w:rsidR="0024122B">
        <w:rPr>
          <w:szCs w:val="22"/>
          <w:lang w:val="en-CA"/>
        </w:rPr>
        <w:t>prediction sample blending</w:t>
      </w:r>
      <w:r w:rsidR="0007766F">
        <w:rPr>
          <w:szCs w:val="22"/>
          <w:lang w:val="en-CA"/>
        </w:rPr>
        <w:t xml:space="preserve"> are </w:t>
      </w:r>
      <w:r w:rsidR="001200F4">
        <w:rPr>
          <w:szCs w:val="22"/>
          <w:lang w:val="en-CA"/>
        </w:rPr>
        <w:t>carried out</w:t>
      </w:r>
      <w:r w:rsidR="0024122B">
        <w:rPr>
          <w:szCs w:val="22"/>
          <w:lang w:val="en-CA"/>
        </w:rPr>
        <w:t xml:space="preserve"> in the original domain.</w:t>
      </w:r>
    </w:p>
    <w:p w14:paraId="0D1F5560" w14:textId="1ABBFB28" w:rsidR="00EE07BB" w:rsidRDefault="001200F4" w:rsidP="009234A5">
      <w:pPr>
        <w:rPr>
          <w:szCs w:val="22"/>
          <w:lang w:val="en-CA"/>
        </w:rPr>
      </w:pPr>
      <w:r>
        <w:rPr>
          <w:szCs w:val="22"/>
          <w:lang w:val="en-CA"/>
        </w:rPr>
        <w:t xml:space="preserve">In Test 2.2b, </w:t>
      </w:r>
      <w:r w:rsidR="0024122B">
        <w:rPr>
          <w:szCs w:val="22"/>
          <w:lang w:val="en-CA"/>
        </w:rPr>
        <w:t xml:space="preserve">blending </w:t>
      </w:r>
      <w:r>
        <w:rPr>
          <w:szCs w:val="22"/>
          <w:lang w:val="en-CA"/>
        </w:rPr>
        <w:t>weights</w:t>
      </w:r>
      <w:r w:rsidR="0024122B">
        <w:rPr>
          <w:szCs w:val="22"/>
          <w:lang w:val="en-CA"/>
        </w:rPr>
        <w:t xml:space="preserve"> derivation and prediction sample blending </w:t>
      </w:r>
      <w:r w:rsidR="00CE1770">
        <w:rPr>
          <w:szCs w:val="22"/>
          <w:lang w:val="en-CA"/>
        </w:rPr>
        <w:t xml:space="preserve">are carried out </w:t>
      </w:r>
      <w:r w:rsidR="0024122B">
        <w:rPr>
          <w:szCs w:val="22"/>
          <w:lang w:val="en-CA"/>
        </w:rPr>
        <w:t>in the LMCS domain.</w:t>
      </w:r>
    </w:p>
    <w:p w14:paraId="24546026" w14:textId="5F39F907" w:rsidR="007A61CA" w:rsidRDefault="00CD5B06" w:rsidP="00CD5B06">
      <w:pPr>
        <w:pStyle w:val="Heading1"/>
        <w:rPr>
          <w:lang w:val="en-CA"/>
        </w:rPr>
      </w:pPr>
      <w:r>
        <w:rPr>
          <w:lang w:val="en-CA"/>
        </w:rPr>
        <w:t>Experimental Results</w:t>
      </w:r>
    </w:p>
    <w:p w14:paraId="7178F8D8" w14:textId="2DACA19F" w:rsidR="00A70B0D" w:rsidRDefault="00A70B0D" w:rsidP="0025445B">
      <w:pPr>
        <w:rPr>
          <w:lang w:val="en-CA"/>
        </w:rPr>
      </w:pPr>
      <w:r>
        <w:rPr>
          <w:lang w:val="en-CA"/>
        </w:rPr>
        <w:t>The two subtests are carried out on top of ECM-17.0 [2] and evaluated under ECM RA CTC [3]</w:t>
      </w:r>
      <w:r w:rsidR="00DF2AF3">
        <w:rPr>
          <w:lang w:val="en-CA"/>
        </w:rPr>
        <w:t>.</w:t>
      </w:r>
    </w:p>
    <w:p w14:paraId="218569C8" w14:textId="5F430189" w:rsidR="0025445B" w:rsidRDefault="0025445B" w:rsidP="0025445B">
      <w:pPr>
        <w:rPr>
          <w:lang w:val="en-CA"/>
        </w:rPr>
      </w:pPr>
      <w:r>
        <w:rPr>
          <w:lang w:val="en-CA"/>
        </w:rPr>
        <w:lastRenderedPageBreak/>
        <w:t xml:space="preserve">It is noted that the LDB </w:t>
      </w:r>
      <w:r w:rsidR="005E6175">
        <w:rPr>
          <w:lang w:val="en-CA"/>
        </w:rPr>
        <w:t xml:space="preserve">CTC </w:t>
      </w:r>
      <w:r>
        <w:rPr>
          <w:lang w:val="en-CA"/>
        </w:rPr>
        <w:t xml:space="preserve">is not </w:t>
      </w:r>
      <w:r w:rsidR="00583A43">
        <w:rPr>
          <w:lang w:val="en-CA"/>
        </w:rPr>
        <w:t>testeds</w:t>
      </w:r>
      <w:r>
        <w:rPr>
          <w:lang w:val="en-CA"/>
        </w:rPr>
        <w:t>, since the regression-based GPM intra with inter prediction is</w:t>
      </w:r>
      <w:r w:rsidR="00B41BEF">
        <w:rPr>
          <w:lang w:val="en-CA"/>
        </w:rPr>
        <w:t xml:space="preserve"> disabled</w:t>
      </w:r>
      <w:r>
        <w:rPr>
          <w:lang w:val="en-CA"/>
        </w:rPr>
        <w:t xml:space="preserve"> in </w:t>
      </w:r>
      <w:r w:rsidR="005E6175">
        <w:rPr>
          <w:lang w:val="en-CA"/>
        </w:rPr>
        <w:t xml:space="preserve">the current </w:t>
      </w:r>
      <w:r>
        <w:rPr>
          <w:lang w:val="en-CA"/>
        </w:rPr>
        <w:t>LDB</w:t>
      </w:r>
      <w:r w:rsidR="005E6175">
        <w:rPr>
          <w:lang w:val="en-CA"/>
        </w:rPr>
        <w:t xml:space="preserve"> CTC</w:t>
      </w:r>
      <w:r>
        <w:rPr>
          <w:lang w:val="en-CA"/>
        </w:rPr>
        <w:t>.</w:t>
      </w:r>
    </w:p>
    <w:p w14:paraId="0CC25F83" w14:textId="0A13D657" w:rsidR="00EE1A85" w:rsidRDefault="00EE1A85" w:rsidP="00EE1A85">
      <w:pPr>
        <w:pStyle w:val="Heading2"/>
        <w:rPr>
          <w:lang w:val="en-CA"/>
        </w:rPr>
      </w:pPr>
      <w:r>
        <w:rPr>
          <w:lang w:val="en-CA"/>
        </w:rPr>
        <w:t>Test 2.2a</w:t>
      </w:r>
    </w:p>
    <w:p w14:paraId="7E508310" w14:textId="77777777" w:rsidR="00EE1A85" w:rsidRPr="00EE1A85" w:rsidRDefault="00EE1A85" w:rsidP="00EE1A85">
      <w:pPr>
        <w:rPr>
          <w:lang w:val="en-CA"/>
        </w:rPr>
      </w:pPr>
    </w:p>
    <w:tbl>
      <w:tblPr>
        <w:tblW w:w="8320" w:type="dxa"/>
        <w:tblLook w:val="04A0" w:firstRow="1" w:lastRow="0" w:firstColumn="1" w:lastColumn="0" w:noHBand="0" w:noVBand="1"/>
      </w:tblPr>
      <w:tblGrid>
        <w:gridCol w:w="1040"/>
        <w:gridCol w:w="852"/>
        <w:gridCol w:w="852"/>
        <w:gridCol w:w="852"/>
        <w:gridCol w:w="908"/>
        <w:gridCol w:w="908"/>
        <w:gridCol w:w="1447"/>
        <w:gridCol w:w="1461"/>
      </w:tblGrid>
      <w:tr w:rsidR="00EE1A85" w:rsidRPr="00EE1A85" w14:paraId="4B548FCC" w14:textId="77777777" w:rsidTr="00EE1A85">
        <w:trPr>
          <w:trHeight w:val="255"/>
        </w:trPr>
        <w:tc>
          <w:tcPr>
            <w:tcW w:w="1040" w:type="dxa"/>
            <w:tcBorders>
              <w:top w:val="nil"/>
              <w:left w:val="nil"/>
              <w:bottom w:val="nil"/>
              <w:right w:val="nil"/>
            </w:tcBorders>
            <w:shd w:val="clear" w:color="auto" w:fill="auto"/>
            <w:noWrap/>
            <w:vAlign w:val="center"/>
            <w:hideMark/>
          </w:tcPr>
          <w:p w14:paraId="5A714604"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zh-CN"/>
              </w:rPr>
            </w:pPr>
          </w:p>
        </w:tc>
        <w:tc>
          <w:tcPr>
            <w:tcW w:w="7280"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697DF0B"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EE1A85">
              <w:rPr>
                <w:rFonts w:ascii="Arial" w:hAnsi="Arial" w:cs="Arial"/>
                <w:b/>
                <w:bCs/>
                <w:color w:val="000000"/>
                <w:sz w:val="18"/>
                <w:szCs w:val="18"/>
                <w:lang w:eastAsia="zh-CN"/>
              </w:rPr>
              <w:t>Random Access Main 10</w:t>
            </w:r>
          </w:p>
        </w:tc>
      </w:tr>
      <w:tr w:rsidR="00EE1A85" w:rsidRPr="00EE1A85" w14:paraId="6DFF2CDB" w14:textId="77777777" w:rsidTr="00EE1A85">
        <w:trPr>
          <w:trHeight w:val="255"/>
        </w:trPr>
        <w:tc>
          <w:tcPr>
            <w:tcW w:w="1040" w:type="dxa"/>
            <w:tcBorders>
              <w:top w:val="nil"/>
              <w:left w:val="nil"/>
              <w:bottom w:val="nil"/>
              <w:right w:val="nil"/>
            </w:tcBorders>
            <w:shd w:val="clear" w:color="auto" w:fill="auto"/>
            <w:noWrap/>
            <w:vAlign w:val="center"/>
            <w:hideMark/>
          </w:tcPr>
          <w:p w14:paraId="061D670B"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7280" w:type="dxa"/>
            <w:gridSpan w:val="7"/>
            <w:tcBorders>
              <w:top w:val="nil"/>
              <w:left w:val="single" w:sz="8" w:space="0" w:color="auto"/>
              <w:bottom w:val="nil"/>
              <w:right w:val="single" w:sz="8" w:space="0" w:color="auto"/>
            </w:tcBorders>
            <w:shd w:val="clear" w:color="auto" w:fill="auto"/>
            <w:noWrap/>
            <w:vAlign w:val="center"/>
            <w:hideMark/>
          </w:tcPr>
          <w:p w14:paraId="3106D3FC"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EE1A85">
              <w:rPr>
                <w:rFonts w:ascii="Arial" w:hAnsi="Arial" w:cs="Arial"/>
                <w:b/>
                <w:bCs/>
                <w:color w:val="000000"/>
                <w:sz w:val="18"/>
                <w:szCs w:val="18"/>
                <w:lang w:eastAsia="zh-CN"/>
              </w:rPr>
              <w:t>Over ECM-17.0</w:t>
            </w:r>
          </w:p>
        </w:tc>
      </w:tr>
      <w:tr w:rsidR="00EE1A85" w:rsidRPr="00EE1A85" w14:paraId="395A73E4" w14:textId="77777777" w:rsidTr="00EE1A85">
        <w:trPr>
          <w:trHeight w:val="255"/>
        </w:trPr>
        <w:tc>
          <w:tcPr>
            <w:tcW w:w="1040" w:type="dxa"/>
            <w:tcBorders>
              <w:top w:val="nil"/>
              <w:left w:val="nil"/>
              <w:bottom w:val="nil"/>
              <w:right w:val="nil"/>
            </w:tcBorders>
            <w:shd w:val="clear" w:color="auto" w:fill="auto"/>
            <w:noWrap/>
            <w:vAlign w:val="center"/>
            <w:hideMark/>
          </w:tcPr>
          <w:p w14:paraId="7168C43E"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852" w:type="dxa"/>
            <w:tcBorders>
              <w:top w:val="nil"/>
              <w:left w:val="single" w:sz="8" w:space="0" w:color="auto"/>
              <w:bottom w:val="single" w:sz="8" w:space="0" w:color="auto"/>
              <w:right w:val="nil"/>
            </w:tcBorders>
            <w:shd w:val="clear" w:color="auto" w:fill="auto"/>
            <w:noWrap/>
            <w:vAlign w:val="center"/>
            <w:hideMark/>
          </w:tcPr>
          <w:p w14:paraId="5B3D73EF"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Y</w:t>
            </w:r>
          </w:p>
        </w:tc>
        <w:tc>
          <w:tcPr>
            <w:tcW w:w="852" w:type="dxa"/>
            <w:tcBorders>
              <w:top w:val="nil"/>
              <w:left w:val="nil"/>
              <w:bottom w:val="single" w:sz="8" w:space="0" w:color="auto"/>
              <w:right w:val="nil"/>
            </w:tcBorders>
            <w:shd w:val="clear" w:color="auto" w:fill="auto"/>
            <w:noWrap/>
            <w:vAlign w:val="center"/>
            <w:hideMark/>
          </w:tcPr>
          <w:p w14:paraId="5F9589F0"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U</w:t>
            </w:r>
          </w:p>
        </w:tc>
        <w:tc>
          <w:tcPr>
            <w:tcW w:w="852" w:type="dxa"/>
            <w:tcBorders>
              <w:top w:val="nil"/>
              <w:left w:val="nil"/>
              <w:bottom w:val="single" w:sz="8" w:space="0" w:color="auto"/>
              <w:right w:val="single" w:sz="4" w:space="0" w:color="auto"/>
            </w:tcBorders>
            <w:shd w:val="clear" w:color="auto" w:fill="auto"/>
            <w:noWrap/>
            <w:vAlign w:val="center"/>
            <w:hideMark/>
          </w:tcPr>
          <w:p w14:paraId="06D9AE88"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V</w:t>
            </w:r>
          </w:p>
        </w:tc>
        <w:tc>
          <w:tcPr>
            <w:tcW w:w="908" w:type="dxa"/>
            <w:tcBorders>
              <w:top w:val="nil"/>
              <w:left w:val="nil"/>
              <w:bottom w:val="single" w:sz="8" w:space="0" w:color="auto"/>
              <w:right w:val="nil"/>
            </w:tcBorders>
            <w:shd w:val="clear" w:color="auto" w:fill="auto"/>
            <w:noWrap/>
            <w:vAlign w:val="center"/>
            <w:hideMark/>
          </w:tcPr>
          <w:p w14:paraId="680951EC"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EncT</w:t>
            </w:r>
          </w:p>
        </w:tc>
        <w:tc>
          <w:tcPr>
            <w:tcW w:w="908" w:type="dxa"/>
            <w:tcBorders>
              <w:top w:val="nil"/>
              <w:left w:val="nil"/>
              <w:bottom w:val="single" w:sz="8" w:space="0" w:color="auto"/>
              <w:right w:val="nil"/>
            </w:tcBorders>
            <w:shd w:val="clear" w:color="auto" w:fill="auto"/>
            <w:noWrap/>
            <w:vAlign w:val="center"/>
            <w:hideMark/>
          </w:tcPr>
          <w:p w14:paraId="4898C59E"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DecT</w:t>
            </w:r>
          </w:p>
        </w:tc>
        <w:tc>
          <w:tcPr>
            <w:tcW w:w="1447" w:type="dxa"/>
            <w:tcBorders>
              <w:top w:val="nil"/>
              <w:left w:val="single" w:sz="4" w:space="0" w:color="auto"/>
              <w:bottom w:val="single" w:sz="8" w:space="0" w:color="auto"/>
              <w:right w:val="nil"/>
            </w:tcBorders>
            <w:shd w:val="clear" w:color="auto" w:fill="auto"/>
            <w:noWrap/>
            <w:vAlign w:val="center"/>
            <w:hideMark/>
          </w:tcPr>
          <w:p w14:paraId="27E2140B"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EncVmPeak</w:t>
            </w:r>
          </w:p>
        </w:tc>
        <w:tc>
          <w:tcPr>
            <w:tcW w:w="1461" w:type="dxa"/>
            <w:tcBorders>
              <w:top w:val="nil"/>
              <w:left w:val="single" w:sz="4" w:space="0" w:color="auto"/>
              <w:bottom w:val="single" w:sz="8" w:space="0" w:color="auto"/>
              <w:right w:val="single" w:sz="8" w:space="0" w:color="auto"/>
            </w:tcBorders>
            <w:shd w:val="clear" w:color="auto" w:fill="auto"/>
            <w:noWrap/>
            <w:vAlign w:val="center"/>
            <w:hideMark/>
          </w:tcPr>
          <w:p w14:paraId="2727B513"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DecVmPeak</w:t>
            </w:r>
          </w:p>
        </w:tc>
      </w:tr>
      <w:tr w:rsidR="00EE1A85" w:rsidRPr="00EE1A85" w14:paraId="480418C5" w14:textId="77777777" w:rsidTr="00EE1A85">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5E1CD16F"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Class A1</w:t>
            </w:r>
          </w:p>
        </w:tc>
        <w:tc>
          <w:tcPr>
            <w:tcW w:w="852" w:type="dxa"/>
            <w:tcBorders>
              <w:top w:val="nil"/>
              <w:left w:val="nil"/>
              <w:bottom w:val="nil"/>
              <w:right w:val="nil"/>
            </w:tcBorders>
            <w:shd w:val="clear" w:color="auto" w:fill="auto"/>
            <w:noWrap/>
            <w:vAlign w:val="center"/>
            <w:hideMark/>
          </w:tcPr>
          <w:p w14:paraId="129B86D7"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-0.06%</w:t>
            </w:r>
          </w:p>
        </w:tc>
        <w:tc>
          <w:tcPr>
            <w:tcW w:w="852" w:type="dxa"/>
            <w:tcBorders>
              <w:top w:val="nil"/>
              <w:left w:val="nil"/>
              <w:bottom w:val="nil"/>
              <w:right w:val="nil"/>
            </w:tcBorders>
            <w:shd w:val="clear" w:color="auto" w:fill="auto"/>
            <w:noWrap/>
            <w:vAlign w:val="center"/>
            <w:hideMark/>
          </w:tcPr>
          <w:p w14:paraId="73908EB7"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-0.04%</w:t>
            </w:r>
          </w:p>
        </w:tc>
        <w:tc>
          <w:tcPr>
            <w:tcW w:w="852" w:type="dxa"/>
            <w:tcBorders>
              <w:top w:val="nil"/>
              <w:left w:val="nil"/>
              <w:bottom w:val="nil"/>
              <w:right w:val="single" w:sz="4" w:space="0" w:color="auto"/>
            </w:tcBorders>
            <w:shd w:val="clear" w:color="auto" w:fill="auto"/>
            <w:noWrap/>
            <w:vAlign w:val="center"/>
            <w:hideMark/>
          </w:tcPr>
          <w:p w14:paraId="0BBFED8E"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0.01%</w:t>
            </w:r>
          </w:p>
        </w:tc>
        <w:tc>
          <w:tcPr>
            <w:tcW w:w="908" w:type="dxa"/>
            <w:tcBorders>
              <w:top w:val="nil"/>
              <w:left w:val="nil"/>
              <w:bottom w:val="nil"/>
              <w:right w:val="nil"/>
            </w:tcBorders>
            <w:shd w:val="clear" w:color="auto" w:fill="auto"/>
            <w:noWrap/>
            <w:vAlign w:val="center"/>
            <w:hideMark/>
          </w:tcPr>
          <w:p w14:paraId="5D0929CA"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100.0%</w:t>
            </w:r>
          </w:p>
        </w:tc>
        <w:tc>
          <w:tcPr>
            <w:tcW w:w="908" w:type="dxa"/>
            <w:tcBorders>
              <w:top w:val="nil"/>
              <w:left w:val="nil"/>
              <w:bottom w:val="nil"/>
              <w:right w:val="nil"/>
            </w:tcBorders>
            <w:shd w:val="clear" w:color="auto" w:fill="auto"/>
            <w:noWrap/>
            <w:vAlign w:val="center"/>
            <w:hideMark/>
          </w:tcPr>
          <w:p w14:paraId="439515FB"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99.9%</w:t>
            </w:r>
          </w:p>
        </w:tc>
        <w:tc>
          <w:tcPr>
            <w:tcW w:w="1447" w:type="dxa"/>
            <w:tcBorders>
              <w:top w:val="nil"/>
              <w:left w:val="single" w:sz="4" w:space="0" w:color="auto"/>
              <w:bottom w:val="nil"/>
              <w:right w:val="nil"/>
            </w:tcBorders>
            <w:shd w:val="clear" w:color="auto" w:fill="auto"/>
            <w:noWrap/>
            <w:vAlign w:val="center"/>
            <w:hideMark/>
          </w:tcPr>
          <w:p w14:paraId="497911BA"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100.0%</w:t>
            </w:r>
          </w:p>
        </w:tc>
        <w:tc>
          <w:tcPr>
            <w:tcW w:w="1461" w:type="dxa"/>
            <w:tcBorders>
              <w:top w:val="nil"/>
              <w:left w:val="nil"/>
              <w:bottom w:val="nil"/>
              <w:right w:val="single" w:sz="8" w:space="0" w:color="auto"/>
            </w:tcBorders>
            <w:shd w:val="clear" w:color="auto" w:fill="auto"/>
            <w:noWrap/>
            <w:vAlign w:val="center"/>
            <w:hideMark/>
          </w:tcPr>
          <w:p w14:paraId="44A9FAB7"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100.0%</w:t>
            </w:r>
          </w:p>
        </w:tc>
      </w:tr>
      <w:tr w:rsidR="00EE1A85" w:rsidRPr="00EE1A85" w14:paraId="28BBAF92" w14:textId="77777777" w:rsidTr="00EE1A85">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603712AF"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Class A2</w:t>
            </w:r>
          </w:p>
        </w:tc>
        <w:tc>
          <w:tcPr>
            <w:tcW w:w="852" w:type="dxa"/>
            <w:tcBorders>
              <w:top w:val="nil"/>
              <w:left w:val="nil"/>
              <w:bottom w:val="nil"/>
              <w:right w:val="nil"/>
            </w:tcBorders>
            <w:shd w:val="clear" w:color="auto" w:fill="auto"/>
            <w:noWrap/>
            <w:vAlign w:val="center"/>
            <w:hideMark/>
          </w:tcPr>
          <w:p w14:paraId="3BD4AA9A"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-0.02%</w:t>
            </w:r>
          </w:p>
        </w:tc>
        <w:tc>
          <w:tcPr>
            <w:tcW w:w="852" w:type="dxa"/>
            <w:tcBorders>
              <w:top w:val="nil"/>
              <w:left w:val="nil"/>
              <w:bottom w:val="nil"/>
              <w:right w:val="nil"/>
            </w:tcBorders>
            <w:shd w:val="clear" w:color="auto" w:fill="auto"/>
            <w:noWrap/>
            <w:vAlign w:val="center"/>
            <w:hideMark/>
          </w:tcPr>
          <w:p w14:paraId="68A1A66B"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-0.06%</w:t>
            </w:r>
          </w:p>
        </w:tc>
        <w:tc>
          <w:tcPr>
            <w:tcW w:w="852" w:type="dxa"/>
            <w:tcBorders>
              <w:top w:val="nil"/>
              <w:left w:val="nil"/>
              <w:bottom w:val="nil"/>
              <w:right w:val="single" w:sz="4" w:space="0" w:color="auto"/>
            </w:tcBorders>
            <w:shd w:val="clear" w:color="auto" w:fill="auto"/>
            <w:noWrap/>
            <w:vAlign w:val="center"/>
            <w:hideMark/>
          </w:tcPr>
          <w:p w14:paraId="1C7A33DC"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0.02%</w:t>
            </w:r>
          </w:p>
        </w:tc>
        <w:tc>
          <w:tcPr>
            <w:tcW w:w="908" w:type="dxa"/>
            <w:tcBorders>
              <w:top w:val="nil"/>
              <w:left w:val="nil"/>
              <w:bottom w:val="nil"/>
              <w:right w:val="nil"/>
            </w:tcBorders>
            <w:shd w:val="clear" w:color="auto" w:fill="auto"/>
            <w:noWrap/>
            <w:vAlign w:val="center"/>
            <w:hideMark/>
          </w:tcPr>
          <w:p w14:paraId="1724425C"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100.1%</w:t>
            </w:r>
          </w:p>
        </w:tc>
        <w:tc>
          <w:tcPr>
            <w:tcW w:w="908" w:type="dxa"/>
            <w:tcBorders>
              <w:top w:val="nil"/>
              <w:left w:val="nil"/>
              <w:bottom w:val="nil"/>
              <w:right w:val="nil"/>
            </w:tcBorders>
            <w:shd w:val="clear" w:color="auto" w:fill="auto"/>
            <w:noWrap/>
            <w:vAlign w:val="center"/>
            <w:hideMark/>
          </w:tcPr>
          <w:p w14:paraId="6512892E"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99.9%</w:t>
            </w:r>
          </w:p>
        </w:tc>
        <w:tc>
          <w:tcPr>
            <w:tcW w:w="1447" w:type="dxa"/>
            <w:tcBorders>
              <w:top w:val="nil"/>
              <w:left w:val="single" w:sz="4" w:space="0" w:color="auto"/>
              <w:bottom w:val="nil"/>
              <w:right w:val="nil"/>
            </w:tcBorders>
            <w:shd w:val="clear" w:color="auto" w:fill="auto"/>
            <w:noWrap/>
            <w:vAlign w:val="center"/>
            <w:hideMark/>
          </w:tcPr>
          <w:p w14:paraId="132587AD"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99.9%</w:t>
            </w:r>
          </w:p>
        </w:tc>
        <w:tc>
          <w:tcPr>
            <w:tcW w:w="1461" w:type="dxa"/>
            <w:tcBorders>
              <w:top w:val="nil"/>
              <w:left w:val="nil"/>
              <w:bottom w:val="nil"/>
              <w:right w:val="single" w:sz="8" w:space="0" w:color="auto"/>
            </w:tcBorders>
            <w:shd w:val="clear" w:color="auto" w:fill="auto"/>
            <w:noWrap/>
            <w:vAlign w:val="center"/>
            <w:hideMark/>
          </w:tcPr>
          <w:p w14:paraId="21D2A2C9"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99.9%</w:t>
            </w:r>
          </w:p>
        </w:tc>
      </w:tr>
      <w:tr w:rsidR="00EE1A85" w:rsidRPr="00EE1A85" w14:paraId="2AA289F6" w14:textId="77777777" w:rsidTr="00EE1A85">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434B3082"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Class B</w:t>
            </w:r>
          </w:p>
        </w:tc>
        <w:tc>
          <w:tcPr>
            <w:tcW w:w="852" w:type="dxa"/>
            <w:tcBorders>
              <w:top w:val="nil"/>
              <w:left w:val="nil"/>
              <w:bottom w:val="nil"/>
              <w:right w:val="nil"/>
            </w:tcBorders>
            <w:shd w:val="clear" w:color="auto" w:fill="auto"/>
            <w:noWrap/>
            <w:vAlign w:val="center"/>
            <w:hideMark/>
          </w:tcPr>
          <w:p w14:paraId="3690B51B"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-0.02%</w:t>
            </w:r>
          </w:p>
        </w:tc>
        <w:tc>
          <w:tcPr>
            <w:tcW w:w="852" w:type="dxa"/>
            <w:tcBorders>
              <w:top w:val="nil"/>
              <w:left w:val="nil"/>
              <w:bottom w:val="nil"/>
              <w:right w:val="nil"/>
            </w:tcBorders>
            <w:shd w:val="clear" w:color="auto" w:fill="auto"/>
            <w:noWrap/>
            <w:vAlign w:val="center"/>
            <w:hideMark/>
          </w:tcPr>
          <w:p w14:paraId="6880AA64"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-0.02%</w:t>
            </w:r>
          </w:p>
        </w:tc>
        <w:tc>
          <w:tcPr>
            <w:tcW w:w="852" w:type="dxa"/>
            <w:tcBorders>
              <w:top w:val="nil"/>
              <w:left w:val="nil"/>
              <w:bottom w:val="nil"/>
              <w:right w:val="single" w:sz="4" w:space="0" w:color="auto"/>
            </w:tcBorders>
            <w:shd w:val="clear" w:color="auto" w:fill="auto"/>
            <w:noWrap/>
            <w:vAlign w:val="center"/>
            <w:hideMark/>
          </w:tcPr>
          <w:p w14:paraId="2B15B983"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0.04%</w:t>
            </w:r>
          </w:p>
        </w:tc>
        <w:tc>
          <w:tcPr>
            <w:tcW w:w="908" w:type="dxa"/>
            <w:tcBorders>
              <w:top w:val="nil"/>
              <w:left w:val="nil"/>
              <w:bottom w:val="nil"/>
              <w:right w:val="nil"/>
            </w:tcBorders>
            <w:shd w:val="clear" w:color="auto" w:fill="auto"/>
            <w:noWrap/>
            <w:vAlign w:val="center"/>
            <w:hideMark/>
          </w:tcPr>
          <w:p w14:paraId="7B7AA1BD"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99.9%</w:t>
            </w:r>
          </w:p>
        </w:tc>
        <w:tc>
          <w:tcPr>
            <w:tcW w:w="908" w:type="dxa"/>
            <w:tcBorders>
              <w:top w:val="nil"/>
              <w:left w:val="nil"/>
              <w:bottom w:val="nil"/>
              <w:right w:val="nil"/>
            </w:tcBorders>
            <w:shd w:val="clear" w:color="auto" w:fill="auto"/>
            <w:noWrap/>
            <w:vAlign w:val="center"/>
            <w:hideMark/>
          </w:tcPr>
          <w:p w14:paraId="2A9BD6FB"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100.1%</w:t>
            </w:r>
          </w:p>
        </w:tc>
        <w:tc>
          <w:tcPr>
            <w:tcW w:w="1447" w:type="dxa"/>
            <w:tcBorders>
              <w:top w:val="nil"/>
              <w:left w:val="single" w:sz="4" w:space="0" w:color="auto"/>
              <w:bottom w:val="nil"/>
              <w:right w:val="nil"/>
            </w:tcBorders>
            <w:shd w:val="clear" w:color="auto" w:fill="auto"/>
            <w:noWrap/>
            <w:vAlign w:val="center"/>
            <w:hideMark/>
          </w:tcPr>
          <w:p w14:paraId="379336D2"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100.0%</w:t>
            </w:r>
          </w:p>
        </w:tc>
        <w:tc>
          <w:tcPr>
            <w:tcW w:w="1461" w:type="dxa"/>
            <w:tcBorders>
              <w:top w:val="nil"/>
              <w:left w:val="nil"/>
              <w:bottom w:val="nil"/>
              <w:right w:val="single" w:sz="8" w:space="0" w:color="auto"/>
            </w:tcBorders>
            <w:shd w:val="clear" w:color="auto" w:fill="auto"/>
            <w:noWrap/>
            <w:vAlign w:val="center"/>
            <w:hideMark/>
          </w:tcPr>
          <w:p w14:paraId="25AAF5C0"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100.0%</w:t>
            </w:r>
          </w:p>
        </w:tc>
      </w:tr>
      <w:tr w:rsidR="00EE1A85" w:rsidRPr="00EE1A85" w14:paraId="38522EE8" w14:textId="77777777" w:rsidTr="00EE1A85">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38937996"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Class C</w:t>
            </w:r>
          </w:p>
        </w:tc>
        <w:tc>
          <w:tcPr>
            <w:tcW w:w="852" w:type="dxa"/>
            <w:tcBorders>
              <w:top w:val="nil"/>
              <w:left w:val="nil"/>
              <w:bottom w:val="nil"/>
              <w:right w:val="nil"/>
            </w:tcBorders>
            <w:shd w:val="clear" w:color="auto" w:fill="auto"/>
            <w:noWrap/>
            <w:vAlign w:val="center"/>
            <w:hideMark/>
          </w:tcPr>
          <w:p w14:paraId="0CAC3375"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-0.03%</w:t>
            </w:r>
          </w:p>
        </w:tc>
        <w:tc>
          <w:tcPr>
            <w:tcW w:w="852" w:type="dxa"/>
            <w:tcBorders>
              <w:top w:val="nil"/>
              <w:left w:val="nil"/>
              <w:bottom w:val="nil"/>
              <w:right w:val="nil"/>
            </w:tcBorders>
            <w:shd w:val="clear" w:color="auto" w:fill="auto"/>
            <w:noWrap/>
            <w:vAlign w:val="center"/>
            <w:hideMark/>
          </w:tcPr>
          <w:p w14:paraId="453EB950"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-0.02%</w:t>
            </w:r>
          </w:p>
        </w:tc>
        <w:tc>
          <w:tcPr>
            <w:tcW w:w="852" w:type="dxa"/>
            <w:tcBorders>
              <w:top w:val="nil"/>
              <w:left w:val="nil"/>
              <w:bottom w:val="nil"/>
              <w:right w:val="single" w:sz="4" w:space="0" w:color="auto"/>
            </w:tcBorders>
            <w:shd w:val="clear" w:color="auto" w:fill="auto"/>
            <w:noWrap/>
            <w:vAlign w:val="center"/>
            <w:hideMark/>
          </w:tcPr>
          <w:p w14:paraId="1258198B"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0.04%</w:t>
            </w:r>
          </w:p>
        </w:tc>
        <w:tc>
          <w:tcPr>
            <w:tcW w:w="908" w:type="dxa"/>
            <w:tcBorders>
              <w:top w:val="nil"/>
              <w:left w:val="nil"/>
              <w:bottom w:val="nil"/>
              <w:right w:val="nil"/>
            </w:tcBorders>
            <w:shd w:val="clear" w:color="auto" w:fill="auto"/>
            <w:noWrap/>
            <w:vAlign w:val="center"/>
            <w:hideMark/>
          </w:tcPr>
          <w:p w14:paraId="58D8970D"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99.8%</w:t>
            </w:r>
          </w:p>
        </w:tc>
        <w:tc>
          <w:tcPr>
            <w:tcW w:w="908" w:type="dxa"/>
            <w:tcBorders>
              <w:top w:val="nil"/>
              <w:left w:val="nil"/>
              <w:bottom w:val="nil"/>
              <w:right w:val="nil"/>
            </w:tcBorders>
            <w:shd w:val="clear" w:color="auto" w:fill="auto"/>
            <w:noWrap/>
            <w:vAlign w:val="center"/>
            <w:hideMark/>
          </w:tcPr>
          <w:p w14:paraId="0827B859"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100.2%</w:t>
            </w:r>
          </w:p>
        </w:tc>
        <w:tc>
          <w:tcPr>
            <w:tcW w:w="1447" w:type="dxa"/>
            <w:tcBorders>
              <w:top w:val="nil"/>
              <w:left w:val="single" w:sz="4" w:space="0" w:color="auto"/>
              <w:bottom w:val="nil"/>
              <w:right w:val="nil"/>
            </w:tcBorders>
            <w:shd w:val="clear" w:color="auto" w:fill="auto"/>
            <w:noWrap/>
            <w:vAlign w:val="center"/>
            <w:hideMark/>
          </w:tcPr>
          <w:p w14:paraId="76D7F403"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100.0%</w:t>
            </w:r>
          </w:p>
        </w:tc>
        <w:tc>
          <w:tcPr>
            <w:tcW w:w="1461" w:type="dxa"/>
            <w:tcBorders>
              <w:top w:val="nil"/>
              <w:left w:val="nil"/>
              <w:bottom w:val="nil"/>
              <w:right w:val="single" w:sz="8" w:space="0" w:color="auto"/>
            </w:tcBorders>
            <w:shd w:val="clear" w:color="auto" w:fill="auto"/>
            <w:noWrap/>
            <w:vAlign w:val="center"/>
            <w:hideMark/>
          </w:tcPr>
          <w:p w14:paraId="55B91472"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99.6%</w:t>
            </w:r>
          </w:p>
        </w:tc>
      </w:tr>
      <w:tr w:rsidR="00EE1A85" w:rsidRPr="00EE1A85" w14:paraId="7A745F94" w14:textId="77777777" w:rsidTr="00EE1A85">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43DE5DC9"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Class E</w:t>
            </w:r>
          </w:p>
        </w:tc>
        <w:tc>
          <w:tcPr>
            <w:tcW w:w="852" w:type="dxa"/>
            <w:tcBorders>
              <w:top w:val="nil"/>
              <w:left w:val="nil"/>
              <w:bottom w:val="nil"/>
              <w:right w:val="nil"/>
            </w:tcBorders>
            <w:shd w:val="clear" w:color="auto" w:fill="auto"/>
            <w:noWrap/>
            <w:vAlign w:val="center"/>
            <w:hideMark/>
          </w:tcPr>
          <w:p w14:paraId="44C0CA40"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 </w:t>
            </w:r>
          </w:p>
        </w:tc>
        <w:tc>
          <w:tcPr>
            <w:tcW w:w="852" w:type="dxa"/>
            <w:tcBorders>
              <w:top w:val="nil"/>
              <w:left w:val="nil"/>
              <w:bottom w:val="nil"/>
              <w:right w:val="nil"/>
            </w:tcBorders>
            <w:shd w:val="clear" w:color="auto" w:fill="auto"/>
            <w:noWrap/>
            <w:vAlign w:val="center"/>
            <w:hideMark/>
          </w:tcPr>
          <w:p w14:paraId="331BD81C"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852" w:type="dxa"/>
            <w:tcBorders>
              <w:top w:val="nil"/>
              <w:left w:val="nil"/>
              <w:bottom w:val="nil"/>
              <w:right w:val="single" w:sz="4" w:space="0" w:color="auto"/>
            </w:tcBorders>
            <w:shd w:val="clear" w:color="auto" w:fill="auto"/>
            <w:noWrap/>
            <w:vAlign w:val="center"/>
            <w:hideMark/>
          </w:tcPr>
          <w:p w14:paraId="4E3E825D"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 </w:t>
            </w:r>
          </w:p>
        </w:tc>
        <w:tc>
          <w:tcPr>
            <w:tcW w:w="908" w:type="dxa"/>
            <w:tcBorders>
              <w:top w:val="nil"/>
              <w:left w:val="nil"/>
              <w:bottom w:val="nil"/>
              <w:right w:val="nil"/>
            </w:tcBorders>
            <w:shd w:val="clear" w:color="auto" w:fill="auto"/>
            <w:noWrap/>
            <w:vAlign w:val="center"/>
            <w:hideMark/>
          </w:tcPr>
          <w:p w14:paraId="4F1BFB9B"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 </w:t>
            </w:r>
          </w:p>
        </w:tc>
        <w:tc>
          <w:tcPr>
            <w:tcW w:w="908" w:type="dxa"/>
            <w:tcBorders>
              <w:top w:val="nil"/>
              <w:left w:val="nil"/>
              <w:bottom w:val="nil"/>
              <w:right w:val="nil"/>
            </w:tcBorders>
            <w:shd w:val="clear" w:color="auto" w:fill="auto"/>
            <w:noWrap/>
            <w:vAlign w:val="center"/>
            <w:hideMark/>
          </w:tcPr>
          <w:p w14:paraId="7F9050A2"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447" w:type="dxa"/>
            <w:tcBorders>
              <w:top w:val="nil"/>
              <w:left w:val="single" w:sz="4" w:space="0" w:color="auto"/>
              <w:bottom w:val="nil"/>
              <w:right w:val="nil"/>
            </w:tcBorders>
            <w:shd w:val="clear" w:color="auto" w:fill="auto"/>
            <w:noWrap/>
            <w:vAlign w:val="center"/>
            <w:hideMark/>
          </w:tcPr>
          <w:p w14:paraId="5E724332"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 </w:t>
            </w:r>
          </w:p>
        </w:tc>
        <w:tc>
          <w:tcPr>
            <w:tcW w:w="1461" w:type="dxa"/>
            <w:tcBorders>
              <w:top w:val="nil"/>
              <w:left w:val="nil"/>
              <w:bottom w:val="nil"/>
              <w:right w:val="single" w:sz="8" w:space="0" w:color="auto"/>
            </w:tcBorders>
            <w:shd w:val="clear" w:color="auto" w:fill="auto"/>
            <w:noWrap/>
            <w:vAlign w:val="center"/>
            <w:hideMark/>
          </w:tcPr>
          <w:p w14:paraId="6088C82D"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 </w:t>
            </w:r>
          </w:p>
        </w:tc>
      </w:tr>
      <w:tr w:rsidR="00EE1A85" w:rsidRPr="00EE1A85" w14:paraId="7F23EE1F" w14:textId="77777777" w:rsidTr="00EE1A85">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5D83ACEC"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EE1A85">
              <w:rPr>
                <w:rFonts w:ascii="Arial" w:hAnsi="Arial" w:cs="Arial"/>
                <w:b/>
                <w:bCs/>
                <w:color w:val="000000"/>
                <w:sz w:val="18"/>
                <w:szCs w:val="18"/>
                <w:lang w:eastAsia="zh-CN"/>
              </w:rPr>
              <w:t>Overall</w:t>
            </w:r>
          </w:p>
        </w:tc>
        <w:tc>
          <w:tcPr>
            <w:tcW w:w="852" w:type="dxa"/>
            <w:tcBorders>
              <w:top w:val="single" w:sz="8" w:space="0" w:color="auto"/>
              <w:left w:val="nil"/>
              <w:bottom w:val="nil"/>
              <w:right w:val="nil"/>
            </w:tcBorders>
            <w:shd w:val="clear" w:color="auto" w:fill="auto"/>
            <w:noWrap/>
            <w:vAlign w:val="center"/>
            <w:hideMark/>
          </w:tcPr>
          <w:p w14:paraId="1F8DB2D4"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EE1A85">
              <w:rPr>
                <w:rFonts w:ascii="Arial" w:hAnsi="Arial" w:cs="Arial"/>
                <w:b/>
                <w:bCs/>
                <w:color w:val="000000"/>
                <w:sz w:val="18"/>
                <w:szCs w:val="18"/>
                <w:lang w:eastAsia="zh-CN"/>
              </w:rPr>
              <w:t>-0.03%</w:t>
            </w:r>
          </w:p>
        </w:tc>
        <w:tc>
          <w:tcPr>
            <w:tcW w:w="852" w:type="dxa"/>
            <w:tcBorders>
              <w:top w:val="single" w:sz="8" w:space="0" w:color="auto"/>
              <w:left w:val="nil"/>
              <w:bottom w:val="nil"/>
              <w:right w:val="nil"/>
            </w:tcBorders>
            <w:shd w:val="clear" w:color="auto" w:fill="auto"/>
            <w:noWrap/>
            <w:vAlign w:val="center"/>
            <w:hideMark/>
          </w:tcPr>
          <w:p w14:paraId="1A12215F"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EE1A85">
              <w:rPr>
                <w:rFonts w:ascii="Arial" w:hAnsi="Arial" w:cs="Arial"/>
                <w:b/>
                <w:bCs/>
                <w:color w:val="000000"/>
                <w:sz w:val="18"/>
                <w:szCs w:val="18"/>
                <w:lang w:eastAsia="zh-CN"/>
              </w:rPr>
              <w:t>-0.03%</w:t>
            </w:r>
          </w:p>
        </w:tc>
        <w:tc>
          <w:tcPr>
            <w:tcW w:w="852" w:type="dxa"/>
            <w:tcBorders>
              <w:top w:val="single" w:sz="8" w:space="0" w:color="auto"/>
              <w:left w:val="nil"/>
              <w:bottom w:val="nil"/>
              <w:right w:val="single" w:sz="4" w:space="0" w:color="auto"/>
            </w:tcBorders>
            <w:shd w:val="clear" w:color="auto" w:fill="auto"/>
            <w:noWrap/>
            <w:vAlign w:val="center"/>
            <w:hideMark/>
          </w:tcPr>
          <w:p w14:paraId="4496EF63"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EE1A85">
              <w:rPr>
                <w:rFonts w:ascii="Arial" w:hAnsi="Arial" w:cs="Arial"/>
                <w:b/>
                <w:bCs/>
                <w:color w:val="000000"/>
                <w:sz w:val="18"/>
                <w:szCs w:val="18"/>
                <w:lang w:eastAsia="zh-CN"/>
              </w:rPr>
              <w:t>0.03%</w:t>
            </w:r>
          </w:p>
        </w:tc>
        <w:tc>
          <w:tcPr>
            <w:tcW w:w="908" w:type="dxa"/>
            <w:tcBorders>
              <w:top w:val="single" w:sz="8" w:space="0" w:color="auto"/>
              <w:left w:val="nil"/>
              <w:bottom w:val="nil"/>
              <w:right w:val="nil"/>
            </w:tcBorders>
            <w:shd w:val="clear" w:color="auto" w:fill="auto"/>
            <w:noWrap/>
            <w:vAlign w:val="center"/>
            <w:hideMark/>
          </w:tcPr>
          <w:p w14:paraId="6D6A7371"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EE1A85">
              <w:rPr>
                <w:rFonts w:ascii="Arial" w:hAnsi="Arial" w:cs="Arial"/>
                <w:b/>
                <w:bCs/>
                <w:color w:val="000000"/>
                <w:sz w:val="18"/>
                <w:szCs w:val="18"/>
                <w:lang w:eastAsia="zh-CN"/>
              </w:rPr>
              <w:t>99.9%</w:t>
            </w:r>
          </w:p>
        </w:tc>
        <w:tc>
          <w:tcPr>
            <w:tcW w:w="908" w:type="dxa"/>
            <w:tcBorders>
              <w:top w:val="single" w:sz="8" w:space="0" w:color="auto"/>
              <w:left w:val="nil"/>
              <w:bottom w:val="nil"/>
              <w:right w:val="nil"/>
            </w:tcBorders>
            <w:shd w:val="clear" w:color="auto" w:fill="auto"/>
            <w:noWrap/>
            <w:vAlign w:val="center"/>
            <w:hideMark/>
          </w:tcPr>
          <w:p w14:paraId="27DBA505"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EE1A85">
              <w:rPr>
                <w:rFonts w:ascii="Arial" w:hAnsi="Arial" w:cs="Arial"/>
                <w:b/>
                <w:bCs/>
                <w:color w:val="000000"/>
                <w:sz w:val="18"/>
                <w:szCs w:val="18"/>
                <w:lang w:eastAsia="zh-CN"/>
              </w:rPr>
              <w:t>100.0%</w:t>
            </w:r>
          </w:p>
        </w:tc>
        <w:tc>
          <w:tcPr>
            <w:tcW w:w="1447" w:type="dxa"/>
            <w:tcBorders>
              <w:top w:val="single" w:sz="8" w:space="0" w:color="auto"/>
              <w:left w:val="single" w:sz="4" w:space="0" w:color="auto"/>
              <w:bottom w:val="single" w:sz="8" w:space="0" w:color="auto"/>
              <w:right w:val="nil"/>
            </w:tcBorders>
            <w:shd w:val="clear" w:color="auto" w:fill="auto"/>
            <w:noWrap/>
            <w:vAlign w:val="center"/>
            <w:hideMark/>
          </w:tcPr>
          <w:p w14:paraId="30568B1B"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EE1A85">
              <w:rPr>
                <w:rFonts w:ascii="Arial" w:hAnsi="Arial" w:cs="Arial"/>
                <w:b/>
                <w:bCs/>
                <w:color w:val="000000"/>
                <w:sz w:val="18"/>
                <w:szCs w:val="18"/>
                <w:lang w:eastAsia="zh-CN"/>
              </w:rPr>
              <w:t>100.0%</w:t>
            </w:r>
          </w:p>
        </w:tc>
        <w:tc>
          <w:tcPr>
            <w:tcW w:w="1461" w:type="dxa"/>
            <w:tcBorders>
              <w:top w:val="single" w:sz="8" w:space="0" w:color="auto"/>
              <w:left w:val="nil"/>
              <w:bottom w:val="single" w:sz="8" w:space="0" w:color="auto"/>
              <w:right w:val="single" w:sz="8" w:space="0" w:color="auto"/>
            </w:tcBorders>
            <w:shd w:val="clear" w:color="auto" w:fill="auto"/>
            <w:noWrap/>
            <w:vAlign w:val="center"/>
            <w:hideMark/>
          </w:tcPr>
          <w:p w14:paraId="03235FEE"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EE1A85">
              <w:rPr>
                <w:rFonts w:ascii="Arial" w:hAnsi="Arial" w:cs="Arial"/>
                <w:b/>
                <w:bCs/>
                <w:color w:val="000000"/>
                <w:sz w:val="18"/>
                <w:szCs w:val="18"/>
                <w:lang w:eastAsia="zh-CN"/>
              </w:rPr>
              <w:t>99.9%</w:t>
            </w:r>
          </w:p>
        </w:tc>
      </w:tr>
      <w:tr w:rsidR="00EE1A85" w:rsidRPr="00EE1A85" w14:paraId="42C393B0" w14:textId="77777777" w:rsidTr="00EE1A85">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2073121A"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Class D</w:t>
            </w:r>
          </w:p>
        </w:tc>
        <w:tc>
          <w:tcPr>
            <w:tcW w:w="852" w:type="dxa"/>
            <w:tcBorders>
              <w:top w:val="single" w:sz="8" w:space="0" w:color="auto"/>
              <w:left w:val="nil"/>
              <w:bottom w:val="nil"/>
              <w:right w:val="nil"/>
            </w:tcBorders>
            <w:shd w:val="clear" w:color="auto" w:fill="auto"/>
            <w:noWrap/>
            <w:vAlign w:val="center"/>
            <w:hideMark/>
          </w:tcPr>
          <w:p w14:paraId="798A3D25"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0.02%</w:t>
            </w:r>
          </w:p>
        </w:tc>
        <w:tc>
          <w:tcPr>
            <w:tcW w:w="852" w:type="dxa"/>
            <w:tcBorders>
              <w:top w:val="single" w:sz="8" w:space="0" w:color="auto"/>
              <w:left w:val="nil"/>
              <w:bottom w:val="nil"/>
              <w:right w:val="nil"/>
            </w:tcBorders>
            <w:shd w:val="clear" w:color="auto" w:fill="auto"/>
            <w:noWrap/>
            <w:vAlign w:val="center"/>
            <w:hideMark/>
          </w:tcPr>
          <w:p w14:paraId="47589C24"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0.07%</w:t>
            </w:r>
          </w:p>
        </w:tc>
        <w:tc>
          <w:tcPr>
            <w:tcW w:w="852" w:type="dxa"/>
            <w:tcBorders>
              <w:top w:val="single" w:sz="8" w:space="0" w:color="auto"/>
              <w:left w:val="nil"/>
              <w:bottom w:val="nil"/>
              <w:right w:val="single" w:sz="4" w:space="0" w:color="auto"/>
            </w:tcBorders>
            <w:shd w:val="clear" w:color="auto" w:fill="auto"/>
            <w:noWrap/>
            <w:vAlign w:val="center"/>
            <w:hideMark/>
          </w:tcPr>
          <w:p w14:paraId="2D6AF9E7"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-0.02%</w:t>
            </w:r>
          </w:p>
        </w:tc>
        <w:tc>
          <w:tcPr>
            <w:tcW w:w="908" w:type="dxa"/>
            <w:tcBorders>
              <w:top w:val="single" w:sz="8" w:space="0" w:color="auto"/>
              <w:left w:val="nil"/>
              <w:bottom w:val="nil"/>
              <w:right w:val="nil"/>
            </w:tcBorders>
            <w:shd w:val="clear" w:color="auto" w:fill="auto"/>
            <w:noWrap/>
            <w:vAlign w:val="center"/>
            <w:hideMark/>
          </w:tcPr>
          <w:p w14:paraId="7C01F12D"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99.9%</w:t>
            </w:r>
          </w:p>
        </w:tc>
        <w:tc>
          <w:tcPr>
            <w:tcW w:w="908" w:type="dxa"/>
            <w:tcBorders>
              <w:top w:val="single" w:sz="8" w:space="0" w:color="auto"/>
              <w:left w:val="nil"/>
              <w:bottom w:val="nil"/>
              <w:right w:val="nil"/>
            </w:tcBorders>
            <w:shd w:val="clear" w:color="auto" w:fill="auto"/>
            <w:noWrap/>
            <w:vAlign w:val="center"/>
            <w:hideMark/>
          </w:tcPr>
          <w:p w14:paraId="718E3884"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100.1%</w:t>
            </w:r>
          </w:p>
        </w:tc>
        <w:tc>
          <w:tcPr>
            <w:tcW w:w="1447" w:type="dxa"/>
            <w:tcBorders>
              <w:top w:val="nil"/>
              <w:left w:val="single" w:sz="4" w:space="0" w:color="auto"/>
              <w:bottom w:val="nil"/>
              <w:right w:val="nil"/>
            </w:tcBorders>
            <w:shd w:val="clear" w:color="auto" w:fill="auto"/>
            <w:noWrap/>
            <w:vAlign w:val="center"/>
            <w:hideMark/>
          </w:tcPr>
          <w:p w14:paraId="781B12D1"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100.1%</w:t>
            </w:r>
          </w:p>
        </w:tc>
        <w:tc>
          <w:tcPr>
            <w:tcW w:w="1461" w:type="dxa"/>
            <w:tcBorders>
              <w:top w:val="nil"/>
              <w:left w:val="nil"/>
              <w:bottom w:val="nil"/>
              <w:right w:val="single" w:sz="8" w:space="0" w:color="auto"/>
            </w:tcBorders>
            <w:shd w:val="clear" w:color="auto" w:fill="auto"/>
            <w:noWrap/>
            <w:vAlign w:val="center"/>
            <w:hideMark/>
          </w:tcPr>
          <w:p w14:paraId="41ADC74C"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100.6%</w:t>
            </w:r>
          </w:p>
        </w:tc>
      </w:tr>
      <w:tr w:rsidR="00EE1A85" w:rsidRPr="00EE1A85" w14:paraId="31970C24" w14:textId="77777777" w:rsidTr="00EE1A85">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6405A20C"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Class F</w:t>
            </w:r>
          </w:p>
        </w:tc>
        <w:tc>
          <w:tcPr>
            <w:tcW w:w="852" w:type="dxa"/>
            <w:tcBorders>
              <w:top w:val="nil"/>
              <w:left w:val="nil"/>
              <w:bottom w:val="nil"/>
              <w:right w:val="nil"/>
            </w:tcBorders>
            <w:shd w:val="clear" w:color="auto" w:fill="auto"/>
            <w:noWrap/>
            <w:vAlign w:val="center"/>
            <w:hideMark/>
          </w:tcPr>
          <w:p w14:paraId="4726A1C4"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0.02%</w:t>
            </w:r>
          </w:p>
        </w:tc>
        <w:tc>
          <w:tcPr>
            <w:tcW w:w="852" w:type="dxa"/>
            <w:tcBorders>
              <w:top w:val="nil"/>
              <w:left w:val="nil"/>
              <w:bottom w:val="nil"/>
              <w:right w:val="nil"/>
            </w:tcBorders>
            <w:shd w:val="clear" w:color="auto" w:fill="auto"/>
            <w:noWrap/>
            <w:vAlign w:val="center"/>
            <w:hideMark/>
          </w:tcPr>
          <w:p w14:paraId="3018BC43"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0.04%</w:t>
            </w:r>
          </w:p>
        </w:tc>
        <w:tc>
          <w:tcPr>
            <w:tcW w:w="852" w:type="dxa"/>
            <w:tcBorders>
              <w:top w:val="nil"/>
              <w:left w:val="nil"/>
              <w:bottom w:val="nil"/>
              <w:right w:val="single" w:sz="4" w:space="0" w:color="auto"/>
            </w:tcBorders>
            <w:shd w:val="clear" w:color="auto" w:fill="auto"/>
            <w:noWrap/>
            <w:vAlign w:val="center"/>
            <w:hideMark/>
          </w:tcPr>
          <w:p w14:paraId="3FFB2AEF"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0.01%</w:t>
            </w:r>
          </w:p>
        </w:tc>
        <w:tc>
          <w:tcPr>
            <w:tcW w:w="908" w:type="dxa"/>
            <w:tcBorders>
              <w:top w:val="nil"/>
              <w:left w:val="nil"/>
              <w:bottom w:val="nil"/>
              <w:right w:val="nil"/>
            </w:tcBorders>
            <w:shd w:val="clear" w:color="auto" w:fill="auto"/>
            <w:noWrap/>
            <w:vAlign w:val="center"/>
            <w:hideMark/>
          </w:tcPr>
          <w:p w14:paraId="21AAEF70"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99.4%</w:t>
            </w:r>
          </w:p>
        </w:tc>
        <w:tc>
          <w:tcPr>
            <w:tcW w:w="908" w:type="dxa"/>
            <w:tcBorders>
              <w:top w:val="nil"/>
              <w:left w:val="nil"/>
              <w:bottom w:val="nil"/>
              <w:right w:val="nil"/>
            </w:tcBorders>
            <w:shd w:val="clear" w:color="auto" w:fill="auto"/>
            <w:noWrap/>
            <w:vAlign w:val="center"/>
            <w:hideMark/>
          </w:tcPr>
          <w:p w14:paraId="35B062A5"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99.9%</w:t>
            </w:r>
          </w:p>
        </w:tc>
        <w:tc>
          <w:tcPr>
            <w:tcW w:w="1447" w:type="dxa"/>
            <w:tcBorders>
              <w:top w:val="nil"/>
              <w:left w:val="single" w:sz="4" w:space="0" w:color="auto"/>
              <w:bottom w:val="nil"/>
              <w:right w:val="nil"/>
            </w:tcBorders>
            <w:shd w:val="clear" w:color="auto" w:fill="auto"/>
            <w:noWrap/>
            <w:vAlign w:val="center"/>
            <w:hideMark/>
          </w:tcPr>
          <w:p w14:paraId="4AC52E4E"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99.9%</w:t>
            </w:r>
          </w:p>
        </w:tc>
        <w:tc>
          <w:tcPr>
            <w:tcW w:w="1461" w:type="dxa"/>
            <w:tcBorders>
              <w:top w:val="nil"/>
              <w:left w:val="nil"/>
              <w:bottom w:val="nil"/>
              <w:right w:val="single" w:sz="8" w:space="0" w:color="auto"/>
            </w:tcBorders>
            <w:shd w:val="clear" w:color="auto" w:fill="auto"/>
            <w:noWrap/>
            <w:vAlign w:val="center"/>
            <w:hideMark/>
          </w:tcPr>
          <w:p w14:paraId="098E426D"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100.0%</w:t>
            </w:r>
          </w:p>
        </w:tc>
      </w:tr>
      <w:tr w:rsidR="00EE1A85" w:rsidRPr="00EE1A85" w14:paraId="2CA2C27B" w14:textId="77777777" w:rsidTr="00EE1A85">
        <w:trPr>
          <w:trHeight w:val="255"/>
        </w:trPr>
        <w:tc>
          <w:tcPr>
            <w:tcW w:w="1040" w:type="dxa"/>
            <w:tcBorders>
              <w:top w:val="nil"/>
              <w:left w:val="single" w:sz="8" w:space="0" w:color="auto"/>
              <w:bottom w:val="single" w:sz="8" w:space="0" w:color="auto"/>
              <w:right w:val="single" w:sz="8" w:space="0" w:color="auto"/>
            </w:tcBorders>
            <w:shd w:val="clear" w:color="auto" w:fill="auto"/>
            <w:noWrap/>
            <w:vAlign w:val="center"/>
            <w:hideMark/>
          </w:tcPr>
          <w:p w14:paraId="0AB991EE"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Class TGM</w:t>
            </w:r>
          </w:p>
        </w:tc>
        <w:tc>
          <w:tcPr>
            <w:tcW w:w="852" w:type="dxa"/>
            <w:tcBorders>
              <w:top w:val="nil"/>
              <w:left w:val="nil"/>
              <w:bottom w:val="single" w:sz="8" w:space="0" w:color="auto"/>
              <w:right w:val="nil"/>
            </w:tcBorders>
            <w:shd w:val="clear" w:color="auto" w:fill="auto"/>
            <w:noWrap/>
            <w:vAlign w:val="center"/>
            <w:hideMark/>
          </w:tcPr>
          <w:p w14:paraId="0C200A91"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0.00%</w:t>
            </w:r>
          </w:p>
        </w:tc>
        <w:tc>
          <w:tcPr>
            <w:tcW w:w="852" w:type="dxa"/>
            <w:tcBorders>
              <w:top w:val="nil"/>
              <w:left w:val="nil"/>
              <w:bottom w:val="single" w:sz="8" w:space="0" w:color="auto"/>
              <w:right w:val="nil"/>
            </w:tcBorders>
            <w:shd w:val="clear" w:color="auto" w:fill="auto"/>
            <w:noWrap/>
            <w:vAlign w:val="center"/>
            <w:hideMark/>
          </w:tcPr>
          <w:p w14:paraId="44420B82"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0.00%</w:t>
            </w:r>
          </w:p>
        </w:tc>
        <w:tc>
          <w:tcPr>
            <w:tcW w:w="852" w:type="dxa"/>
            <w:tcBorders>
              <w:top w:val="nil"/>
              <w:left w:val="nil"/>
              <w:bottom w:val="single" w:sz="8" w:space="0" w:color="auto"/>
              <w:right w:val="single" w:sz="4" w:space="0" w:color="auto"/>
            </w:tcBorders>
            <w:shd w:val="clear" w:color="auto" w:fill="auto"/>
            <w:noWrap/>
            <w:vAlign w:val="center"/>
            <w:hideMark/>
          </w:tcPr>
          <w:p w14:paraId="34C041DC"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0.00%</w:t>
            </w:r>
          </w:p>
        </w:tc>
        <w:tc>
          <w:tcPr>
            <w:tcW w:w="908" w:type="dxa"/>
            <w:tcBorders>
              <w:top w:val="nil"/>
              <w:left w:val="nil"/>
              <w:bottom w:val="single" w:sz="8" w:space="0" w:color="auto"/>
              <w:right w:val="nil"/>
            </w:tcBorders>
            <w:shd w:val="clear" w:color="auto" w:fill="auto"/>
            <w:noWrap/>
            <w:vAlign w:val="center"/>
            <w:hideMark/>
          </w:tcPr>
          <w:p w14:paraId="4EAB6146"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99.2%</w:t>
            </w:r>
          </w:p>
        </w:tc>
        <w:tc>
          <w:tcPr>
            <w:tcW w:w="908" w:type="dxa"/>
            <w:tcBorders>
              <w:top w:val="nil"/>
              <w:left w:val="nil"/>
              <w:bottom w:val="single" w:sz="8" w:space="0" w:color="auto"/>
              <w:right w:val="nil"/>
            </w:tcBorders>
            <w:shd w:val="clear" w:color="auto" w:fill="auto"/>
            <w:noWrap/>
            <w:vAlign w:val="center"/>
            <w:hideMark/>
          </w:tcPr>
          <w:p w14:paraId="1FBF97CB"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99.9%</w:t>
            </w:r>
          </w:p>
        </w:tc>
        <w:tc>
          <w:tcPr>
            <w:tcW w:w="1447" w:type="dxa"/>
            <w:tcBorders>
              <w:top w:val="nil"/>
              <w:left w:val="single" w:sz="4" w:space="0" w:color="auto"/>
              <w:bottom w:val="single" w:sz="8" w:space="0" w:color="auto"/>
              <w:right w:val="nil"/>
            </w:tcBorders>
            <w:shd w:val="clear" w:color="auto" w:fill="auto"/>
            <w:noWrap/>
            <w:vAlign w:val="center"/>
            <w:hideMark/>
          </w:tcPr>
          <w:p w14:paraId="142F06AA"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99.8%</w:t>
            </w:r>
          </w:p>
        </w:tc>
        <w:tc>
          <w:tcPr>
            <w:tcW w:w="1461" w:type="dxa"/>
            <w:tcBorders>
              <w:top w:val="nil"/>
              <w:left w:val="nil"/>
              <w:bottom w:val="single" w:sz="8" w:space="0" w:color="auto"/>
              <w:right w:val="single" w:sz="8" w:space="0" w:color="auto"/>
            </w:tcBorders>
            <w:shd w:val="clear" w:color="auto" w:fill="auto"/>
            <w:noWrap/>
            <w:vAlign w:val="center"/>
            <w:hideMark/>
          </w:tcPr>
          <w:p w14:paraId="6B1F58E9" w14:textId="77777777" w:rsidR="00EE1A85" w:rsidRPr="00EE1A85" w:rsidRDefault="00EE1A85" w:rsidP="00EE1A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EE1A85">
              <w:rPr>
                <w:rFonts w:ascii="Arial" w:hAnsi="Arial" w:cs="Arial"/>
                <w:color w:val="000000"/>
                <w:sz w:val="18"/>
                <w:szCs w:val="18"/>
                <w:lang w:eastAsia="zh-CN"/>
              </w:rPr>
              <w:t>99.5%</w:t>
            </w:r>
          </w:p>
        </w:tc>
      </w:tr>
    </w:tbl>
    <w:p w14:paraId="16934196" w14:textId="6DC1D625" w:rsidR="00DB4992" w:rsidRDefault="00DB4992" w:rsidP="00DB4992">
      <w:pPr>
        <w:rPr>
          <w:szCs w:val="22"/>
          <w:lang w:val="en-CA"/>
        </w:rPr>
      </w:pPr>
    </w:p>
    <w:p w14:paraId="1574E03B" w14:textId="337F190E" w:rsidR="00EE1A85" w:rsidRDefault="00EE1A85" w:rsidP="00EE1A85">
      <w:pPr>
        <w:pStyle w:val="Heading2"/>
        <w:rPr>
          <w:lang w:val="en-CA"/>
        </w:rPr>
      </w:pPr>
      <w:r>
        <w:rPr>
          <w:lang w:val="en-CA"/>
        </w:rPr>
        <w:t>Test 2.2b</w:t>
      </w:r>
    </w:p>
    <w:p w14:paraId="71BD657B" w14:textId="77777777" w:rsidR="001E055C" w:rsidRPr="001E055C" w:rsidRDefault="001E055C" w:rsidP="001E055C">
      <w:pPr>
        <w:rPr>
          <w:lang w:val="en-CA"/>
        </w:rPr>
      </w:pPr>
    </w:p>
    <w:tbl>
      <w:tblPr>
        <w:tblW w:w="8321" w:type="dxa"/>
        <w:tblLook w:val="04A0" w:firstRow="1" w:lastRow="0" w:firstColumn="1" w:lastColumn="0" w:noHBand="0" w:noVBand="1"/>
      </w:tblPr>
      <w:tblGrid>
        <w:gridCol w:w="1040"/>
        <w:gridCol w:w="869"/>
        <w:gridCol w:w="869"/>
        <w:gridCol w:w="869"/>
        <w:gridCol w:w="782"/>
        <w:gridCol w:w="926"/>
        <w:gridCol w:w="1476"/>
        <w:gridCol w:w="1490"/>
      </w:tblGrid>
      <w:tr w:rsidR="001E055C" w:rsidRPr="001E055C" w14:paraId="21F5B228" w14:textId="77777777" w:rsidTr="001E055C">
        <w:trPr>
          <w:trHeight w:val="255"/>
        </w:trPr>
        <w:tc>
          <w:tcPr>
            <w:tcW w:w="1040" w:type="dxa"/>
            <w:tcBorders>
              <w:top w:val="nil"/>
              <w:left w:val="nil"/>
              <w:bottom w:val="nil"/>
              <w:right w:val="nil"/>
            </w:tcBorders>
            <w:shd w:val="clear" w:color="auto" w:fill="auto"/>
            <w:noWrap/>
            <w:vAlign w:val="center"/>
            <w:hideMark/>
          </w:tcPr>
          <w:p w14:paraId="32F57192"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zh-CN"/>
              </w:rPr>
            </w:pPr>
          </w:p>
        </w:tc>
        <w:tc>
          <w:tcPr>
            <w:tcW w:w="7281"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12B6A6"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E055C">
              <w:rPr>
                <w:rFonts w:ascii="Arial" w:hAnsi="Arial" w:cs="Arial"/>
                <w:b/>
                <w:bCs/>
                <w:color w:val="000000"/>
                <w:sz w:val="18"/>
                <w:szCs w:val="18"/>
                <w:lang w:eastAsia="zh-CN"/>
              </w:rPr>
              <w:t>Random Access Main 10</w:t>
            </w:r>
          </w:p>
        </w:tc>
      </w:tr>
      <w:tr w:rsidR="001E055C" w:rsidRPr="001E055C" w14:paraId="6B338585" w14:textId="77777777" w:rsidTr="001E055C">
        <w:trPr>
          <w:trHeight w:val="255"/>
        </w:trPr>
        <w:tc>
          <w:tcPr>
            <w:tcW w:w="1040" w:type="dxa"/>
            <w:tcBorders>
              <w:top w:val="nil"/>
              <w:left w:val="nil"/>
              <w:bottom w:val="nil"/>
              <w:right w:val="nil"/>
            </w:tcBorders>
            <w:shd w:val="clear" w:color="auto" w:fill="auto"/>
            <w:noWrap/>
            <w:vAlign w:val="center"/>
            <w:hideMark/>
          </w:tcPr>
          <w:p w14:paraId="69C076AE"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7281" w:type="dxa"/>
            <w:gridSpan w:val="7"/>
            <w:tcBorders>
              <w:top w:val="nil"/>
              <w:left w:val="single" w:sz="8" w:space="0" w:color="auto"/>
              <w:bottom w:val="nil"/>
              <w:right w:val="single" w:sz="8" w:space="0" w:color="auto"/>
            </w:tcBorders>
            <w:shd w:val="clear" w:color="auto" w:fill="auto"/>
            <w:noWrap/>
            <w:vAlign w:val="center"/>
            <w:hideMark/>
          </w:tcPr>
          <w:p w14:paraId="1795DC5C"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E055C">
              <w:rPr>
                <w:rFonts w:ascii="Arial" w:hAnsi="Arial" w:cs="Arial"/>
                <w:b/>
                <w:bCs/>
                <w:color w:val="000000"/>
                <w:sz w:val="18"/>
                <w:szCs w:val="18"/>
                <w:lang w:eastAsia="zh-CN"/>
              </w:rPr>
              <w:t>Over ECM-17.0</w:t>
            </w:r>
          </w:p>
        </w:tc>
      </w:tr>
      <w:tr w:rsidR="001E055C" w:rsidRPr="001E055C" w14:paraId="72DE3A96" w14:textId="77777777" w:rsidTr="001E055C">
        <w:trPr>
          <w:trHeight w:val="255"/>
        </w:trPr>
        <w:tc>
          <w:tcPr>
            <w:tcW w:w="1040" w:type="dxa"/>
            <w:tcBorders>
              <w:top w:val="nil"/>
              <w:left w:val="nil"/>
              <w:bottom w:val="nil"/>
              <w:right w:val="nil"/>
            </w:tcBorders>
            <w:shd w:val="clear" w:color="auto" w:fill="auto"/>
            <w:noWrap/>
            <w:vAlign w:val="center"/>
            <w:hideMark/>
          </w:tcPr>
          <w:p w14:paraId="32961FD3"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869" w:type="dxa"/>
            <w:tcBorders>
              <w:top w:val="nil"/>
              <w:left w:val="single" w:sz="8" w:space="0" w:color="auto"/>
              <w:bottom w:val="single" w:sz="8" w:space="0" w:color="auto"/>
              <w:right w:val="nil"/>
            </w:tcBorders>
            <w:shd w:val="clear" w:color="auto" w:fill="auto"/>
            <w:noWrap/>
            <w:vAlign w:val="center"/>
            <w:hideMark/>
          </w:tcPr>
          <w:p w14:paraId="444FB9B1"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Y</w:t>
            </w:r>
          </w:p>
        </w:tc>
        <w:tc>
          <w:tcPr>
            <w:tcW w:w="869" w:type="dxa"/>
            <w:tcBorders>
              <w:top w:val="nil"/>
              <w:left w:val="nil"/>
              <w:bottom w:val="single" w:sz="8" w:space="0" w:color="auto"/>
              <w:right w:val="nil"/>
            </w:tcBorders>
            <w:shd w:val="clear" w:color="auto" w:fill="auto"/>
            <w:noWrap/>
            <w:vAlign w:val="center"/>
            <w:hideMark/>
          </w:tcPr>
          <w:p w14:paraId="4193A58D"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U</w:t>
            </w:r>
          </w:p>
        </w:tc>
        <w:tc>
          <w:tcPr>
            <w:tcW w:w="869" w:type="dxa"/>
            <w:tcBorders>
              <w:top w:val="nil"/>
              <w:left w:val="nil"/>
              <w:bottom w:val="single" w:sz="8" w:space="0" w:color="auto"/>
              <w:right w:val="single" w:sz="4" w:space="0" w:color="auto"/>
            </w:tcBorders>
            <w:shd w:val="clear" w:color="auto" w:fill="auto"/>
            <w:noWrap/>
            <w:vAlign w:val="center"/>
            <w:hideMark/>
          </w:tcPr>
          <w:p w14:paraId="5842DB6D"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V</w:t>
            </w:r>
          </w:p>
        </w:tc>
        <w:tc>
          <w:tcPr>
            <w:tcW w:w="782" w:type="dxa"/>
            <w:tcBorders>
              <w:top w:val="nil"/>
              <w:left w:val="nil"/>
              <w:bottom w:val="single" w:sz="8" w:space="0" w:color="auto"/>
              <w:right w:val="nil"/>
            </w:tcBorders>
            <w:shd w:val="clear" w:color="auto" w:fill="auto"/>
            <w:noWrap/>
            <w:vAlign w:val="center"/>
            <w:hideMark/>
          </w:tcPr>
          <w:p w14:paraId="17E8D033"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EncT</w:t>
            </w:r>
          </w:p>
        </w:tc>
        <w:tc>
          <w:tcPr>
            <w:tcW w:w="926" w:type="dxa"/>
            <w:tcBorders>
              <w:top w:val="nil"/>
              <w:left w:val="nil"/>
              <w:bottom w:val="single" w:sz="8" w:space="0" w:color="auto"/>
              <w:right w:val="nil"/>
            </w:tcBorders>
            <w:shd w:val="clear" w:color="auto" w:fill="auto"/>
            <w:noWrap/>
            <w:vAlign w:val="center"/>
            <w:hideMark/>
          </w:tcPr>
          <w:p w14:paraId="5987E1B5"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DecT</w:t>
            </w:r>
          </w:p>
        </w:tc>
        <w:tc>
          <w:tcPr>
            <w:tcW w:w="1476" w:type="dxa"/>
            <w:tcBorders>
              <w:top w:val="nil"/>
              <w:left w:val="single" w:sz="4" w:space="0" w:color="auto"/>
              <w:bottom w:val="single" w:sz="8" w:space="0" w:color="auto"/>
              <w:right w:val="nil"/>
            </w:tcBorders>
            <w:shd w:val="clear" w:color="auto" w:fill="auto"/>
            <w:noWrap/>
            <w:vAlign w:val="center"/>
            <w:hideMark/>
          </w:tcPr>
          <w:p w14:paraId="4CEACAE6"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EncVmPeak</w:t>
            </w:r>
          </w:p>
        </w:tc>
        <w:tc>
          <w:tcPr>
            <w:tcW w:w="1490" w:type="dxa"/>
            <w:tcBorders>
              <w:top w:val="nil"/>
              <w:left w:val="single" w:sz="4" w:space="0" w:color="auto"/>
              <w:bottom w:val="single" w:sz="8" w:space="0" w:color="auto"/>
              <w:right w:val="single" w:sz="8" w:space="0" w:color="auto"/>
            </w:tcBorders>
            <w:shd w:val="clear" w:color="auto" w:fill="auto"/>
            <w:noWrap/>
            <w:vAlign w:val="center"/>
            <w:hideMark/>
          </w:tcPr>
          <w:p w14:paraId="6676B3D7"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DecVmPeak</w:t>
            </w:r>
          </w:p>
        </w:tc>
      </w:tr>
      <w:tr w:rsidR="001E055C" w:rsidRPr="001E055C" w14:paraId="7CD7814B" w14:textId="77777777" w:rsidTr="001E055C">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527A7385"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Class A1</w:t>
            </w:r>
          </w:p>
        </w:tc>
        <w:tc>
          <w:tcPr>
            <w:tcW w:w="869" w:type="dxa"/>
            <w:tcBorders>
              <w:top w:val="nil"/>
              <w:left w:val="nil"/>
              <w:bottom w:val="nil"/>
              <w:right w:val="nil"/>
            </w:tcBorders>
            <w:shd w:val="clear" w:color="auto" w:fill="auto"/>
            <w:noWrap/>
            <w:vAlign w:val="center"/>
            <w:hideMark/>
          </w:tcPr>
          <w:p w14:paraId="3EAE85DD"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-0.01%</w:t>
            </w:r>
          </w:p>
        </w:tc>
        <w:tc>
          <w:tcPr>
            <w:tcW w:w="869" w:type="dxa"/>
            <w:tcBorders>
              <w:top w:val="nil"/>
              <w:left w:val="nil"/>
              <w:bottom w:val="nil"/>
              <w:right w:val="nil"/>
            </w:tcBorders>
            <w:shd w:val="clear" w:color="auto" w:fill="auto"/>
            <w:noWrap/>
            <w:vAlign w:val="center"/>
            <w:hideMark/>
          </w:tcPr>
          <w:p w14:paraId="4852533D"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-0.02%</w:t>
            </w:r>
          </w:p>
        </w:tc>
        <w:tc>
          <w:tcPr>
            <w:tcW w:w="869" w:type="dxa"/>
            <w:tcBorders>
              <w:top w:val="nil"/>
              <w:left w:val="nil"/>
              <w:bottom w:val="nil"/>
              <w:right w:val="single" w:sz="4" w:space="0" w:color="auto"/>
            </w:tcBorders>
            <w:shd w:val="clear" w:color="auto" w:fill="auto"/>
            <w:noWrap/>
            <w:vAlign w:val="center"/>
            <w:hideMark/>
          </w:tcPr>
          <w:p w14:paraId="195030D7"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0.08%</w:t>
            </w:r>
          </w:p>
        </w:tc>
        <w:tc>
          <w:tcPr>
            <w:tcW w:w="782" w:type="dxa"/>
            <w:tcBorders>
              <w:top w:val="nil"/>
              <w:left w:val="nil"/>
              <w:bottom w:val="nil"/>
              <w:right w:val="nil"/>
            </w:tcBorders>
            <w:shd w:val="clear" w:color="auto" w:fill="auto"/>
            <w:noWrap/>
            <w:vAlign w:val="center"/>
            <w:hideMark/>
          </w:tcPr>
          <w:p w14:paraId="346E6E3D"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99.9%</w:t>
            </w:r>
          </w:p>
        </w:tc>
        <w:tc>
          <w:tcPr>
            <w:tcW w:w="926" w:type="dxa"/>
            <w:tcBorders>
              <w:top w:val="nil"/>
              <w:left w:val="nil"/>
              <w:bottom w:val="nil"/>
              <w:right w:val="nil"/>
            </w:tcBorders>
            <w:shd w:val="clear" w:color="auto" w:fill="auto"/>
            <w:noWrap/>
            <w:vAlign w:val="center"/>
            <w:hideMark/>
          </w:tcPr>
          <w:p w14:paraId="0B87F49A"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99.7%</w:t>
            </w:r>
          </w:p>
        </w:tc>
        <w:tc>
          <w:tcPr>
            <w:tcW w:w="1476" w:type="dxa"/>
            <w:tcBorders>
              <w:top w:val="nil"/>
              <w:left w:val="single" w:sz="4" w:space="0" w:color="auto"/>
              <w:bottom w:val="nil"/>
              <w:right w:val="nil"/>
            </w:tcBorders>
            <w:shd w:val="clear" w:color="auto" w:fill="auto"/>
            <w:noWrap/>
            <w:vAlign w:val="center"/>
            <w:hideMark/>
          </w:tcPr>
          <w:p w14:paraId="79BF74A2"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99.9%</w:t>
            </w:r>
          </w:p>
        </w:tc>
        <w:tc>
          <w:tcPr>
            <w:tcW w:w="1490" w:type="dxa"/>
            <w:tcBorders>
              <w:top w:val="nil"/>
              <w:left w:val="nil"/>
              <w:bottom w:val="nil"/>
              <w:right w:val="single" w:sz="8" w:space="0" w:color="auto"/>
            </w:tcBorders>
            <w:shd w:val="clear" w:color="auto" w:fill="auto"/>
            <w:noWrap/>
            <w:vAlign w:val="center"/>
            <w:hideMark/>
          </w:tcPr>
          <w:p w14:paraId="40EA7000"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100.0%</w:t>
            </w:r>
          </w:p>
        </w:tc>
      </w:tr>
      <w:tr w:rsidR="001E055C" w:rsidRPr="001E055C" w14:paraId="154B3F86" w14:textId="77777777" w:rsidTr="001E055C">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72881D85"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Class A2</w:t>
            </w:r>
          </w:p>
        </w:tc>
        <w:tc>
          <w:tcPr>
            <w:tcW w:w="869" w:type="dxa"/>
            <w:tcBorders>
              <w:top w:val="nil"/>
              <w:left w:val="nil"/>
              <w:bottom w:val="nil"/>
              <w:right w:val="nil"/>
            </w:tcBorders>
            <w:shd w:val="clear" w:color="auto" w:fill="auto"/>
            <w:noWrap/>
            <w:vAlign w:val="center"/>
            <w:hideMark/>
          </w:tcPr>
          <w:p w14:paraId="6AE15A25"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-0.02%</w:t>
            </w:r>
          </w:p>
        </w:tc>
        <w:tc>
          <w:tcPr>
            <w:tcW w:w="869" w:type="dxa"/>
            <w:tcBorders>
              <w:top w:val="nil"/>
              <w:left w:val="nil"/>
              <w:bottom w:val="nil"/>
              <w:right w:val="nil"/>
            </w:tcBorders>
            <w:shd w:val="clear" w:color="auto" w:fill="auto"/>
            <w:noWrap/>
            <w:vAlign w:val="center"/>
            <w:hideMark/>
          </w:tcPr>
          <w:p w14:paraId="624C2DC2"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-0.11%</w:t>
            </w:r>
          </w:p>
        </w:tc>
        <w:tc>
          <w:tcPr>
            <w:tcW w:w="869" w:type="dxa"/>
            <w:tcBorders>
              <w:top w:val="nil"/>
              <w:left w:val="nil"/>
              <w:bottom w:val="nil"/>
              <w:right w:val="single" w:sz="4" w:space="0" w:color="auto"/>
            </w:tcBorders>
            <w:shd w:val="clear" w:color="auto" w:fill="auto"/>
            <w:noWrap/>
            <w:vAlign w:val="center"/>
            <w:hideMark/>
          </w:tcPr>
          <w:p w14:paraId="1F84501C"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0.03%</w:t>
            </w:r>
          </w:p>
        </w:tc>
        <w:tc>
          <w:tcPr>
            <w:tcW w:w="782" w:type="dxa"/>
            <w:tcBorders>
              <w:top w:val="nil"/>
              <w:left w:val="nil"/>
              <w:bottom w:val="nil"/>
              <w:right w:val="nil"/>
            </w:tcBorders>
            <w:shd w:val="clear" w:color="auto" w:fill="auto"/>
            <w:noWrap/>
            <w:vAlign w:val="center"/>
            <w:hideMark/>
          </w:tcPr>
          <w:p w14:paraId="3201F37A"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99.9%</w:t>
            </w:r>
          </w:p>
        </w:tc>
        <w:tc>
          <w:tcPr>
            <w:tcW w:w="926" w:type="dxa"/>
            <w:tcBorders>
              <w:top w:val="nil"/>
              <w:left w:val="nil"/>
              <w:bottom w:val="nil"/>
              <w:right w:val="nil"/>
            </w:tcBorders>
            <w:shd w:val="clear" w:color="auto" w:fill="auto"/>
            <w:noWrap/>
            <w:vAlign w:val="center"/>
            <w:hideMark/>
          </w:tcPr>
          <w:p w14:paraId="0FE656BB"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100.1%</w:t>
            </w:r>
          </w:p>
        </w:tc>
        <w:tc>
          <w:tcPr>
            <w:tcW w:w="1476" w:type="dxa"/>
            <w:tcBorders>
              <w:top w:val="nil"/>
              <w:left w:val="single" w:sz="4" w:space="0" w:color="auto"/>
              <w:bottom w:val="nil"/>
              <w:right w:val="nil"/>
            </w:tcBorders>
            <w:shd w:val="clear" w:color="auto" w:fill="auto"/>
            <w:noWrap/>
            <w:vAlign w:val="center"/>
            <w:hideMark/>
          </w:tcPr>
          <w:p w14:paraId="1299FB62"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100.1%</w:t>
            </w:r>
          </w:p>
        </w:tc>
        <w:tc>
          <w:tcPr>
            <w:tcW w:w="1490" w:type="dxa"/>
            <w:tcBorders>
              <w:top w:val="nil"/>
              <w:left w:val="nil"/>
              <w:bottom w:val="nil"/>
              <w:right w:val="single" w:sz="8" w:space="0" w:color="auto"/>
            </w:tcBorders>
            <w:shd w:val="clear" w:color="auto" w:fill="auto"/>
            <w:noWrap/>
            <w:vAlign w:val="center"/>
            <w:hideMark/>
          </w:tcPr>
          <w:p w14:paraId="384DA1F7"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100.1%</w:t>
            </w:r>
          </w:p>
        </w:tc>
      </w:tr>
      <w:tr w:rsidR="001E055C" w:rsidRPr="001E055C" w14:paraId="6DC5F9FC" w14:textId="77777777" w:rsidTr="001E055C">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02D0B367"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Class B</w:t>
            </w:r>
          </w:p>
        </w:tc>
        <w:tc>
          <w:tcPr>
            <w:tcW w:w="869" w:type="dxa"/>
            <w:tcBorders>
              <w:top w:val="nil"/>
              <w:left w:val="nil"/>
              <w:bottom w:val="nil"/>
              <w:right w:val="nil"/>
            </w:tcBorders>
            <w:shd w:val="clear" w:color="auto" w:fill="auto"/>
            <w:noWrap/>
            <w:vAlign w:val="center"/>
            <w:hideMark/>
          </w:tcPr>
          <w:p w14:paraId="1B7F20FB"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-0.02%</w:t>
            </w:r>
          </w:p>
        </w:tc>
        <w:tc>
          <w:tcPr>
            <w:tcW w:w="869" w:type="dxa"/>
            <w:tcBorders>
              <w:top w:val="nil"/>
              <w:left w:val="nil"/>
              <w:bottom w:val="nil"/>
              <w:right w:val="nil"/>
            </w:tcBorders>
            <w:shd w:val="clear" w:color="auto" w:fill="auto"/>
            <w:noWrap/>
            <w:vAlign w:val="center"/>
            <w:hideMark/>
          </w:tcPr>
          <w:p w14:paraId="7720F741"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-0.01%</w:t>
            </w:r>
          </w:p>
        </w:tc>
        <w:tc>
          <w:tcPr>
            <w:tcW w:w="869" w:type="dxa"/>
            <w:tcBorders>
              <w:top w:val="nil"/>
              <w:left w:val="nil"/>
              <w:bottom w:val="nil"/>
              <w:right w:val="single" w:sz="4" w:space="0" w:color="auto"/>
            </w:tcBorders>
            <w:shd w:val="clear" w:color="auto" w:fill="auto"/>
            <w:noWrap/>
            <w:vAlign w:val="center"/>
            <w:hideMark/>
          </w:tcPr>
          <w:p w14:paraId="46BA60B0"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0.00%</w:t>
            </w:r>
          </w:p>
        </w:tc>
        <w:tc>
          <w:tcPr>
            <w:tcW w:w="782" w:type="dxa"/>
            <w:tcBorders>
              <w:top w:val="nil"/>
              <w:left w:val="nil"/>
              <w:bottom w:val="nil"/>
              <w:right w:val="nil"/>
            </w:tcBorders>
            <w:shd w:val="clear" w:color="auto" w:fill="auto"/>
            <w:noWrap/>
            <w:vAlign w:val="center"/>
            <w:hideMark/>
          </w:tcPr>
          <w:p w14:paraId="771C2550"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99.5%</w:t>
            </w:r>
          </w:p>
        </w:tc>
        <w:tc>
          <w:tcPr>
            <w:tcW w:w="926" w:type="dxa"/>
            <w:tcBorders>
              <w:top w:val="nil"/>
              <w:left w:val="nil"/>
              <w:bottom w:val="nil"/>
              <w:right w:val="nil"/>
            </w:tcBorders>
            <w:shd w:val="clear" w:color="auto" w:fill="auto"/>
            <w:noWrap/>
            <w:vAlign w:val="center"/>
            <w:hideMark/>
          </w:tcPr>
          <w:p w14:paraId="0DD0650D"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100.0%</w:t>
            </w:r>
          </w:p>
        </w:tc>
        <w:tc>
          <w:tcPr>
            <w:tcW w:w="1476" w:type="dxa"/>
            <w:tcBorders>
              <w:top w:val="nil"/>
              <w:left w:val="single" w:sz="4" w:space="0" w:color="auto"/>
              <w:bottom w:val="nil"/>
              <w:right w:val="nil"/>
            </w:tcBorders>
            <w:shd w:val="clear" w:color="auto" w:fill="auto"/>
            <w:noWrap/>
            <w:vAlign w:val="center"/>
            <w:hideMark/>
          </w:tcPr>
          <w:p w14:paraId="0EC16849"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100.0%</w:t>
            </w:r>
          </w:p>
        </w:tc>
        <w:tc>
          <w:tcPr>
            <w:tcW w:w="1490" w:type="dxa"/>
            <w:tcBorders>
              <w:top w:val="nil"/>
              <w:left w:val="nil"/>
              <w:bottom w:val="nil"/>
              <w:right w:val="single" w:sz="8" w:space="0" w:color="auto"/>
            </w:tcBorders>
            <w:shd w:val="clear" w:color="auto" w:fill="auto"/>
            <w:noWrap/>
            <w:vAlign w:val="center"/>
            <w:hideMark/>
          </w:tcPr>
          <w:p w14:paraId="2CCA73B7"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100.0%</w:t>
            </w:r>
          </w:p>
        </w:tc>
      </w:tr>
      <w:tr w:rsidR="001E055C" w:rsidRPr="001E055C" w14:paraId="0E3D7310" w14:textId="77777777" w:rsidTr="001E055C">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5F1435D3"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Class C</w:t>
            </w:r>
          </w:p>
        </w:tc>
        <w:tc>
          <w:tcPr>
            <w:tcW w:w="869" w:type="dxa"/>
            <w:tcBorders>
              <w:top w:val="nil"/>
              <w:left w:val="nil"/>
              <w:bottom w:val="nil"/>
              <w:right w:val="nil"/>
            </w:tcBorders>
            <w:shd w:val="clear" w:color="auto" w:fill="auto"/>
            <w:noWrap/>
            <w:vAlign w:val="center"/>
            <w:hideMark/>
          </w:tcPr>
          <w:p w14:paraId="2561D478"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-0.03%</w:t>
            </w:r>
          </w:p>
        </w:tc>
        <w:tc>
          <w:tcPr>
            <w:tcW w:w="869" w:type="dxa"/>
            <w:tcBorders>
              <w:top w:val="nil"/>
              <w:left w:val="nil"/>
              <w:bottom w:val="nil"/>
              <w:right w:val="nil"/>
            </w:tcBorders>
            <w:shd w:val="clear" w:color="auto" w:fill="auto"/>
            <w:noWrap/>
            <w:vAlign w:val="center"/>
            <w:hideMark/>
          </w:tcPr>
          <w:p w14:paraId="3520B9E4"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0.07%</w:t>
            </w:r>
          </w:p>
        </w:tc>
        <w:tc>
          <w:tcPr>
            <w:tcW w:w="869" w:type="dxa"/>
            <w:tcBorders>
              <w:top w:val="nil"/>
              <w:left w:val="nil"/>
              <w:bottom w:val="nil"/>
              <w:right w:val="single" w:sz="4" w:space="0" w:color="auto"/>
            </w:tcBorders>
            <w:shd w:val="clear" w:color="auto" w:fill="auto"/>
            <w:noWrap/>
            <w:vAlign w:val="center"/>
            <w:hideMark/>
          </w:tcPr>
          <w:p w14:paraId="43881F71"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0.06%</w:t>
            </w:r>
          </w:p>
        </w:tc>
        <w:tc>
          <w:tcPr>
            <w:tcW w:w="782" w:type="dxa"/>
            <w:tcBorders>
              <w:top w:val="nil"/>
              <w:left w:val="nil"/>
              <w:bottom w:val="nil"/>
              <w:right w:val="nil"/>
            </w:tcBorders>
            <w:shd w:val="clear" w:color="auto" w:fill="auto"/>
            <w:noWrap/>
            <w:vAlign w:val="center"/>
            <w:hideMark/>
          </w:tcPr>
          <w:p w14:paraId="582B140E"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99.9%</w:t>
            </w:r>
          </w:p>
        </w:tc>
        <w:tc>
          <w:tcPr>
            <w:tcW w:w="926" w:type="dxa"/>
            <w:tcBorders>
              <w:top w:val="nil"/>
              <w:left w:val="nil"/>
              <w:bottom w:val="nil"/>
              <w:right w:val="nil"/>
            </w:tcBorders>
            <w:shd w:val="clear" w:color="auto" w:fill="auto"/>
            <w:noWrap/>
            <w:vAlign w:val="center"/>
            <w:hideMark/>
          </w:tcPr>
          <w:p w14:paraId="07AD4D68"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99.9%</w:t>
            </w:r>
          </w:p>
        </w:tc>
        <w:tc>
          <w:tcPr>
            <w:tcW w:w="1476" w:type="dxa"/>
            <w:tcBorders>
              <w:top w:val="nil"/>
              <w:left w:val="single" w:sz="4" w:space="0" w:color="auto"/>
              <w:bottom w:val="nil"/>
              <w:right w:val="nil"/>
            </w:tcBorders>
            <w:shd w:val="clear" w:color="auto" w:fill="auto"/>
            <w:noWrap/>
            <w:vAlign w:val="center"/>
            <w:hideMark/>
          </w:tcPr>
          <w:p w14:paraId="1E7F4CF9"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100.0%</w:t>
            </w:r>
          </w:p>
        </w:tc>
        <w:tc>
          <w:tcPr>
            <w:tcW w:w="1490" w:type="dxa"/>
            <w:tcBorders>
              <w:top w:val="nil"/>
              <w:left w:val="nil"/>
              <w:bottom w:val="nil"/>
              <w:right w:val="single" w:sz="8" w:space="0" w:color="auto"/>
            </w:tcBorders>
            <w:shd w:val="clear" w:color="auto" w:fill="auto"/>
            <w:noWrap/>
            <w:vAlign w:val="center"/>
            <w:hideMark/>
          </w:tcPr>
          <w:p w14:paraId="14B8BD28"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100.0%</w:t>
            </w:r>
          </w:p>
        </w:tc>
      </w:tr>
      <w:tr w:rsidR="001E055C" w:rsidRPr="001E055C" w14:paraId="234E5943" w14:textId="77777777" w:rsidTr="001E055C">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6673E3E2"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Class E</w:t>
            </w:r>
          </w:p>
        </w:tc>
        <w:tc>
          <w:tcPr>
            <w:tcW w:w="869" w:type="dxa"/>
            <w:tcBorders>
              <w:top w:val="nil"/>
              <w:left w:val="nil"/>
              <w:bottom w:val="nil"/>
              <w:right w:val="nil"/>
            </w:tcBorders>
            <w:shd w:val="clear" w:color="auto" w:fill="auto"/>
            <w:noWrap/>
            <w:vAlign w:val="center"/>
            <w:hideMark/>
          </w:tcPr>
          <w:p w14:paraId="06FA425A"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 </w:t>
            </w:r>
          </w:p>
        </w:tc>
        <w:tc>
          <w:tcPr>
            <w:tcW w:w="869" w:type="dxa"/>
            <w:tcBorders>
              <w:top w:val="nil"/>
              <w:left w:val="nil"/>
              <w:bottom w:val="nil"/>
              <w:right w:val="nil"/>
            </w:tcBorders>
            <w:shd w:val="clear" w:color="auto" w:fill="auto"/>
            <w:noWrap/>
            <w:vAlign w:val="center"/>
            <w:hideMark/>
          </w:tcPr>
          <w:p w14:paraId="49D023BA"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869" w:type="dxa"/>
            <w:tcBorders>
              <w:top w:val="nil"/>
              <w:left w:val="nil"/>
              <w:bottom w:val="nil"/>
              <w:right w:val="single" w:sz="4" w:space="0" w:color="auto"/>
            </w:tcBorders>
            <w:shd w:val="clear" w:color="auto" w:fill="auto"/>
            <w:noWrap/>
            <w:vAlign w:val="center"/>
            <w:hideMark/>
          </w:tcPr>
          <w:p w14:paraId="50F776C7"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 </w:t>
            </w:r>
          </w:p>
        </w:tc>
        <w:tc>
          <w:tcPr>
            <w:tcW w:w="782" w:type="dxa"/>
            <w:tcBorders>
              <w:top w:val="nil"/>
              <w:left w:val="nil"/>
              <w:bottom w:val="nil"/>
              <w:right w:val="nil"/>
            </w:tcBorders>
            <w:shd w:val="clear" w:color="auto" w:fill="auto"/>
            <w:noWrap/>
            <w:vAlign w:val="center"/>
            <w:hideMark/>
          </w:tcPr>
          <w:p w14:paraId="409492D3"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 </w:t>
            </w:r>
          </w:p>
        </w:tc>
        <w:tc>
          <w:tcPr>
            <w:tcW w:w="926" w:type="dxa"/>
            <w:tcBorders>
              <w:top w:val="nil"/>
              <w:left w:val="nil"/>
              <w:bottom w:val="nil"/>
              <w:right w:val="nil"/>
            </w:tcBorders>
            <w:shd w:val="clear" w:color="auto" w:fill="auto"/>
            <w:noWrap/>
            <w:vAlign w:val="center"/>
            <w:hideMark/>
          </w:tcPr>
          <w:p w14:paraId="1ED17D06"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476" w:type="dxa"/>
            <w:tcBorders>
              <w:top w:val="nil"/>
              <w:left w:val="single" w:sz="4" w:space="0" w:color="auto"/>
              <w:bottom w:val="nil"/>
              <w:right w:val="nil"/>
            </w:tcBorders>
            <w:shd w:val="clear" w:color="auto" w:fill="auto"/>
            <w:noWrap/>
            <w:vAlign w:val="center"/>
            <w:hideMark/>
          </w:tcPr>
          <w:p w14:paraId="65B616E2"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 </w:t>
            </w:r>
          </w:p>
        </w:tc>
        <w:tc>
          <w:tcPr>
            <w:tcW w:w="1490" w:type="dxa"/>
            <w:tcBorders>
              <w:top w:val="nil"/>
              <w:left w:val="nil"/>
              <w:bottom w:val="nil"/>
              <w:right w:val="single" w:sz="8" w:space="0" w:color="auto"/>
            </w:tcBorders>
            <w:shd w:val="clear" w:color="auto" w:fill="auto"/>
            <w:noWrap/>
            <w:vAlign w:val="center"/>
            <w:hideMark/>
          </w:tcPr>
          <w:p w14:paraId="1598D5CA"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 </w:t>
            </w:r>
          </w:p>
        </w:tc>
      </w:tr>
      <w:tr w:rsidR="001E055C" w:rsidRPr="001E055C" w14:paraId="03D77F6B" w14:textId="77777777" w:rsidTr="001E055C">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0FC31FA2"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bookmarkStart w:id="0" w:name="_Hlk201217324"/>
            <w:r w:rsidRPr="001E055C">
              <w:rPr>
                <w:rFonts w:ascii="Arial" w:hAnsi="Arial" w:cs="Arial"/>
                <w:b/>
                <w:bCs/>
                <w:color w:val="000000"/>
                <w:sz w:val="18"/>
                <w:szCs w:val="18"/>
                <w:lang w:eastAsia="zh-CN"/>
              </w:rPr>
              <w:t>Overall</w:t>
            </w:r>
          </w:p>
        </w:tc>
        <w:tc>
          <w:tcPr>
            <w:tcW w:w="869" w:type="dxa"/>
            <w:tcBorders>
              <w:top w:val="single" w:sz="8" w:space="0" w:color="auto"/>
              <w:left w:val="nil"/>
              <w:bottom w:val="nil"/>
              <w:right w:val="nil"/>
            </w:tcBorders>
            <w:shd w:val="clear" w:color="auto" w:fill="auto"/>
            <w:noWrap/>
            <w:vAlign w:val="center"/>
            <w:hideMark/>
          </w:tcPr>
          <w:p w14:paraId="4BA1377C"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E055C">
              <w:rPr>
                <w:rFonts w:ascii="Arial" w:hAnsi="Arial" w:cs="Arial"/>
                <w:b/>
                <w:bCs/>
                <w:color w:val="000000"/>
                <w:sz w:val="18"/>
                <w:szCs w:val="18"/>
                <w:lang w:eastAsia="zh-CN"/>
              </w:rPr>
              <w:t>-0.02%</w:t>
            </w:r>
          </w:p>
        </w:tc>
        <w:tc>
          <w:tcPr>
            <w:tcW w:w="869" w:type="dxa"/>
            <w:tcBorders>
              <w:top w:val="single" w:sz="8" w:space="0" w:color="auto"/>
              <w:left w:val="nil"/>
              <w:bottom w:val="nil"/>
              <w:right w:val="nil"/>
            </w:tcBorders>
            <w:shd w:val="clear" w:color="auto" w:fill="auto"/>
            <w:noWrap/>
            <w:vAlign w:val="center"/>
            <w:hideMark/>
          </w:tcPr>
          <w:p w14:paraId="02DA5B47"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E055C">
              <w:rPr>
                <w:rFonts w:ascii="Arial" w:hAnsi="Arial" w:cs="Arial"/>
                <w:b/>
                <w:bCs/>
                <w:color w:val="000000"/>
                <w:sz w:val="18"/>
                <w:szCs w:val="18"/>
                <w:lang w:eastAsia="zh-CN"/>
              </w:rPr>
              <w:t>-0.01%</w:t>
            </w:r>
          </w:p>
        </w:tc>
        <w:tc>
          <w:tcPr>
            <w:tcW w:w="869" w:type="dxa"/>
            <w:tcBorders>
              <w:top w:val="single" w:sz="8" w:space="0" w:color="auto"/>
              <w:left w:val="nil"/>
              <w:bottom w:val="nil"/>
              <w:right w:val="single" w:sz="4" w:space="0" w:color="auto"/>
            </w:tcBorders>
            <w:shd w:val="clear" w:color="auto" w:fill="auto"/>
            <w:noWrap/>
            <w:vAlign w:val="center"/>
            <w:hideMark/>
          </w:tcPr>
          <w:p w14:paraId="0DEC745C"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E055C">
              <w:rPr>
                <w:rFonts w:ascii="Arial" w:hAnsi="Arial" w:cs="Arial"/>
                <w:b/>
                <w:bCs/>
                <w:color w:val="000000"/>
                <w:sz w:val="18"/>
                <w:szCs w:val="18"/>
                <w:lang w:eastAsia="zh-CN"/>
              </w:rPr>
              <w:t>0.04%</w:t>
            </w:r>
          </w:p>
        </w:tc>
        <w:tc>
          <w:tcPr>
            <w:tcW w:w="782" w:type="dxa"/>
            <w:tcBorders>
              <w:top w:val="single" w:sz="8" w:space="0" w:color="auto"/>
              <w:left w:val="nil"/>
              <w:bottom w:val="nil"/>
              <w:right w:val="nil"/>
            </w:tcBorders>
            <w:shd w:val="clear" w:color="auto" w:fill="auto"/>
            <w:noWrap/>
            <w:vAlign w:val="center"/>
            <w:hideMark/>
          </w:tcPr>
          <w:p w14:paraId="43389E6D"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E055C">
              <w:rPr>
                <w:rFonts w:ascii="Arial" w:hAnsi="Arial" w:cs="Arial"/>
                <w:b/>
                <w:bCs/>
                <w:color w:val="000000"/>
                <w:sz w:val="18"/>
                <w:szCs w:val="18"/>
                <w:lang w:eastAsia="zh-CN"/>
              </w:rPr>
              <w:t>99.8%</w:t>
            </w:r>
          </w:p>
        </w:tc>
        <w:tc>
          <w:tcPr>
            <w:tcW w:w="926" w:type="dxa"/>
            <w:tcBorders>
              <w:top w:val="single" w:sz="8" w:space="0" w:color="auto"/>
              <w:left w:val="nil"/>
              <w:bottom w:val="nil"/>
              <w:right w:val="nil"/>
            </w:tcBorders>
            <w:shd w:val="clear" w:color="auto" w:fill="auto"/>
            <w:noWrap/>
            <w:vAlign w:val="center"/>
            <w:hideMark/>
          </w:tcPr>
          <w:p w14:paraId="6E22A47F"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E055C">
              <w:rPr>
                <w:rFonts w:ascii="Arial" w:hAnsi="Arial" w:cs="Arial"/>
                <w:b/>
                <w:bCs/>
                <w:color w:val="000000"/>
                <w:sz w:val="18"/>
                <w:szCs w:val="18"/>
                <w:lang w:eastAsia="zh-CN"/>
              </w:rPr>
              <w:t>99.9%</w:t>
            </w:r>
          </w:p>
        </w:tc>
        <w:tc>
          <w:tcPr>
            <w:tcW w:w="1476" w:type="dxa"/>
            <w:tcBorders>
              <w:top w:val="single" w:sz="8" w:space="0" w:color="auto"/>
              <w:left w:val="single" w:sz="4" w:space="0" w:color="auto"/>
              <w:bottom w:val="single" w:sz="8" w:space="0" w:color="auto"/>
              <w:right w:val="nil"/>
            </w:tcBorders>
            <w:shd w:val="clear" w:color="auto" w:fill="auto"/>
            <w:noWrap/>
            <w:vAlign w:val="center"/>
            <w:hideMark/>
          </w:tcPr>
          <w:p w14:paraId="420D815D"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E055C">
              <w:rPr>
                <w:rFonts w:ascii="Arial" w:hAnsi="Arial" w:cs="Arial"/>
                <w:b/>
                <w:bCs/>
                <w:color w:val="000000"/>
                <w:sz w:val="18"/>
                <w:szCs w:val="18"/>
                <w:lang w:eastAsia="zh-CN"/>
              </w:rPr>
              <w:t>100.0%</w:t>
            </w:r>
          </w:p>
        </w:tc>
        <w:tc>
          <w:tcPr>
            <w:tcW w:w="1490" w:type="dxa"/>
            <w:tcBorders>
              <w:top w:val="single" w:sz="8" w:space="0" w:color="auto"/>
              <w:left w:val="nil"/>
              <w:bottom w:val="single" w:sz="8" w:space="0" w:color="auto"/>
              <w:right w:val="single" w:sz="8" w:space="0" w:color="auto"/>
            </w:tcBorders>
            <w:shd w:val="clear" w:color="auto" w:fill="auto"/>
            <w:noWrap/>
            <w:vAlign w:val="center"/>
            <w:hideMark/>
          </w:tcPr>
          <w:p w14:paraId="1B28B5EA"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E055C">
              <w:rPr>
                <w:rFonts w:ascii="Arial" w:hAnsi="Arial" w:cs="Arial"/>
                <w:b/>
                <w:bCs/>
                <w:color w:val="000000"/>
                <w:sz w:val="18"/>
                <w:szCs w:val="18"/>
                <w:lang w:eastAsia="zh-CN"/>
              </w:rPr>
              <w:t>100.0%</w:t>
            </w:r>
          </w:p>
        </w:tc>
      </w:tr>
      <w:bookmarkEnd w:id="0"/>
      <w:tr w:rsidR="001E055C" w:rsidRPr="001E055C" w14:paraId="13F729D0" w14:textId="77777777" w:rsidTr="001E055C">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7D3FE231"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Class D</w:t>
            </w:r>
          </w:p>
        </w:tc>
        <w:tc>
          <w:tcPr>
            <w:tcW w:w="869" w:type="dxa"/>
            <w:tcBorders>
              <w:top w:val="single" w:sz="8" w:space="0" w:color="auto"/>
              <w:left w:val="nil"/>
              <w:bottom w:val="nil"/>
              <w:right w:val="nil"/>
            </w:tcBorders>
            <w:shd w:val="clear" w:color="auto" w:fill="auto"/>
            <w:noWrap/>
            <w:vAlign w:val="center"/>
            <w:hideMark/>
          </w:tcPr>
          <w:p w14:paraId="16D56618"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0.02%</w:t>
            </w:r>
          </w:p>
        </w:tc>
        <w:tc>
          <w:tcPr>
            <w:tcW w:w="869" w:type="dxa"/>
            <w:tcBorders>
              <w:top w:val="single" w:sz="8" w:space="0" w:color="auto"/>
              <w:left w:val="nil"/>
              <w:bottom w:val="nil"/>
              <w:right w:val="nil"/>
            </w:tcBorders>
            <w:shd w:val="clear" w:color="auto" w:fill="auto"/>
            <w:noWrap/>
            <w:vAlign w:val="center"/>
            <w:hideMark/>
          </w:tcPr>
          <w:p w14:paraId="13BA569A"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-0.01%</w:t>
            </w:r>
          </w:p>
        </w:tc>
        <w:tc>
          <w:tcPr>
            <w:tcW w:w="869" w:type="dxa"/>
            <w:tcBorders>
              <w:top w:val="single" w:sz="8" w:space="0" w:color="auto"/>
              <w:left w:val="nil"/>
              <w:bottom w:val="nil"/>
              <w:right w:val="single" w:sz="4" w:space="0" w:color="auto"/>
            </w:tcBorders>
            <w:shd w:val="clear" w:color="auto" w:fill="auto"/>
            <w:noWrap/>
            <w:vAlign w:val="center"/>
            <w:hideMark/>
          </w:tcPr>
          <w:p w14:paraId="6E99080B"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-0.09%</w:t>
            </w:r>
          </w:p>
        </w:tc>
        <w:tc>
          <w:tcPr>
            <w:tcW w:w="782" w:type="dxa"/>
            <w:tcBorders>
              <w:top w:val="single" w:sz="8" w:space="0" w:color="auto"/>
              <w:left w:val="nil"/>
              <w:bottom w:val="nil"/>
              <w:right w:val="nil"/>
            </w:tcBorders>
            <w:shd w:val="clear" w:color="auto" w:fill="auto"/>
            <w:noWrap/>
            <w:vAlign w:val="center"/>
            <w:hideMark/>
          </w:tcPr>
          <w:p w14:paraId="7FD66D60"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99.5%</w:t>
            </w:r>
          </w:p>
        </w:tc>
        <w:tc>
          <w:tcPr>
            <w:tcW w:w="926" w:type="dxa"/>
            <w:tcBorders>
              <w:top w:val="single" w:sz="8" w:space="0" w:color="auto"/>
              <w:left w:val="nil"/>
              <w:bottom w:val="nil"/>
              <w:right w:val="nil"/>
            </w:tcBorders>
            <w:shd w:val="clear" w:color="auto" w:fill="auto"/>
            <w:noWrap/>
            <w:vAlign w:val="center"/>
            <w:hideMark/>
          </w:tcPr>
          <w:p w14:paraId="602F04EB"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99.9%</w:t>
            </w:r>
          </w:p>
        </w:tc>
        <w:tc>
          <w:tcPr>
            <w:tcW w:w="1476" w:type="dxa"/>
            <w:tcBorders>
              <w:top w:val="nil"/>
              <w:left w:val="single" w:sz="4" w:space="0" w:color="auto"/>
              <w:bottom w:val="nil"/>
              <w:right w:val="nil"/>
            </w:tcBorders>
            <w:shd w:val="clear" w:color="auto" w:fill="auto"/>
            <w:noWrap/>
            <w:vAlign w:val="center"/>
            <w:hideMark/>
          </w:tcPr>
          <w:p w14:paraId="06DC8DC1"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100.1%</w:t>
            </w:r>
          </w:p>
        </w:tc>
        <w:tc>
          <w:tcPr>
            <w:tcW w:w="1490" w:type="dxa"/>
            <w:tcBorders>
              <w:top w:val="nil"/>
              <w:left w:val="nil"/>
              <w:bottom w:val="nil"/>
              <w:right w:val="single" w:sz="8" w:space="0" w:color="auto"/>
            </w:tcBorders>
            <w:shd w:val="clear" w:color="auto" w:fill="auto"/>
            <w:noWrap/>
            <w:vAlign w:val="center"/>
            <w:hideMark/>
          </w:tcPr>
          <w:p w14:paraId="5636EB8B"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100.4%</w:t>
            </w:r>
          </w:p>
        </w:tc>
      </w:tr>
      <w:tr w:rsidR="001E055C" w:rsidRPr="001E055C" w14:paraId="11208355" w14:textId="77777777" w:rsidTr="001E055C">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0C0BBCC6"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Class F</w:t>
            </w:r>
          </w:p>
        </w:tc>
        <w:tc>
          <w:tcPr>
            <w:tcW w:w="869" w:type="dxa"/>
            <w:tcBorders>
              <w:top w:val="nil"/>
              <w:left w:val="nil"/>
              <w:bottom w:val="nil"/>
              <w:right w:val="nil"/>
            </w:tcBorders>
            <w:shd w:val="clear" w:color="auto" w:fill="auto"/>
            <w:noWrap/>
            <w:vAlign w:val="center"/>
            <w:hideMark/>
          </w:tcPr>
          <w:p w14:paraId="3955B1DA"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0.01%</w:t>
            </w:r>
          </w:p>
        </w:tc>
        <w:tc>
          <w:tcPr>
            <w:tcW w:w="869" w:type="dxa"/>
            <w:tcBorders>
              <w:top w:val="nil"/>
              <w:left w:val="nil"/>
              <w:bottom w:val="nil"/>
              <w:right w:val="nil"/>
            </w:tcBorders>
            <w:shd w:val="clear" w:color="auto" w:fill="auto"/>
            <w:noWrap/>
            <w:vAlign w:val="center"/>
            <w:hideMark/>
          </w:tcPr>
          <w:p w14:paraId="2794BB55"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0.00%</w:t>
            </w:r>
          </w:p>
        </w:tc>
        <w:tc>
          <w:tcPr>
            <w:tcW w:w="869" w:type="dxa"/>
            <w:tcBorders>
              <w:top w:val="nil"/>
              <w:left w:val="nil"/>
              <w:bottom w:val="nil"/>
              <w:right w:val="single" w:sz="4" w:space="0" w:color="auto"/>
            </w:tcBorders>
            <w:shd w:val="clear" w:color="auto" w:fill="auto"/>
            <w:noWrap/>
            <w:vAlign w:val="center"/>
            <w:hideMark/>
          </w:tcPr>
          <w:p w14:paraId="0FE37C21"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0.03%</w:t>
            </w:r>
          </w:p>
        </w:tc>
        <w:tc>
          <w:tcPr>
            <w:tcW w:w="782" w:type="dxa"/>
            <w:tcBorders>
              <w:top w:val="nil"/>
              <w:left w:val="nil"/>
              <w:bottom w:val="nil"/>
              <w:right w:val="nil"/>
            </w:tcBorders>
            <w:shd w:val="clear" w:color="auto" w:fill="auto"/>
            <w:noWrap/>
            <w:vAlign w:val="center"/>
            <w:hideMark/>
          </w:tcPr>
          <w:p w14:paraId="251DC612"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99.2%</w:t>
            </w:r>
          </w:p>
        </w:tc>
        <w:tc>
          <w:tcPr>
            <w:tcW w:w="926" w:type="dxa"/>
            <w:tcBorders>
              <w:top w:val="nil"/>
              <w:left w:val="nil"/>
              <w:bottom w:val="nil"/>
              <w:right w:val="nil"/>
            </w:tcBorders>
            <w:shd w:val="clear" w:color="auto" w:fill="auto"/>
            <w:noWrap/>
            <w:vAlign w:val="center"/>
            <w:hideMark/>
          </w:tcPr>
          <w:p w14:paraId="02447057"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100.0%</w:t>
            </w:r>
          </w:p>
        </w:tc>
        <w:tc>
          <w:tcPr>
            <w:tcW w:w="1476" w:type="dxa"/>
            <w:tcBorders>
              <w:top w:val="nil"/>
              <w:left w:val="single" w:sz="4" w:space="0" w:color="auto"/>
              <w:bottom w:val="nil"/>
              <w:right w:val="nil"/>
            </w:tcBorders>
            <w:shd w:val="clear" w:color="auto" w:fill="auto"/>
            <w:noWrap/>
            <w:vAlign w:val="center"/>
            <w:hideMark/>
          </w:tcPr>
          <w:p w14:paraId="16967E3E"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99.8%</w:t>
            </w:r>
          </w:p>
        </w:tc>
        <w:tc>
          <w:tcPr>
            <w:tcW w:w="1490" w:type="dxa"/>
            <w:tcBorders>
              <w:top w:val="nil"/>
              <w:left w:val="nil"/>
              <w:bottom w:val="nil"/>
              <w:right w:val="single" w:sz="8" w:space="0" w:color="auto"/>
            </w:tcBorders>
            <w:shd w:val="clear" w:color="auto" w:fill="auto"/>
            <w:noWrap/>
            <w:vAlign w:val="center"/>
            <w:hideMark/>
          </w:tcPr>
          <w:p w14:paraId="2675D2B0"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99.9%</w:t>
            </w:r>
          </w:p>
        </w:tc>
      </w:tr>
      <w:tr w:rsidR="001E055C" w:rsidRPr="001E055C" w14:paraId="5686C13B" w14:textId="77777777" w:rsidTr="001E055C">
        <w:trPr>
          <w:trHeight w:val="255"/>
        </w:trPr>
        <w:tc>
          <w:tcPr>
            <w:tcW w:w="1040" w:type="dxa"/>
            <w:tcBorders>
              <w:top w:val="nil"/>
              <w:left w:val="single" w:sz="8" w:space="0" w:color="auto"/>
              <w:bottom w:val="single" w:sz="8" w:space="0" w:color="auto"/>
              <w:right w:val="single" w:sz="8" w:space="0" w:color="auto"/>
            </w:tcBorders>
            <w:shd w:val="clear" w:color="auto" w:fill="auto"/>
            <w:noWrap/>
            <w:vAlign w:val="center"/>
            <w:hideMark/>
          </w:tcPr>
          <w:p w14:paraId="275AFBBE"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Class TGM</w:t>
            </w:r>
          </w:p>
        </w:tc>
        <w:tc>
          <w:tcPr>
            <w:tcW w:w="869" w:type="dxa"/>
            <w:tcBorders>
              <w:top w:val="nil"/>
              <w:left w:val="nil"/>
              <w:bottom w:val="single" w:sz="8" w:space="0" w:color="auto"/>
              <w:right w:val="nil"/>
            </w:tcBorders>
            <w:shd w:val="clear" w:color="auto" w:fill="auto"/>
            <w:noWrap/>
            <w:vAlign w:val="center"/>
            <w:hideMark/>
          </w:tcPr>
          <w:p w14:paraId="687873C6"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0.00%</w:t>
            </w:r>
          </w:p>
        </w:tc>
        <w:tc>
          <w:tcPr>
            <w:tcW w:w="869" w:type="dxa"/>
            <w:tcBorders>
              <w:top w:val="nil"/>
              <w:left w:val="nil"/>
              <w:bottom w:val="single" w:sz="8" w:space="0" w:color="auto"/>
              <w:right w:val="nil"/>
            </w:tcBorders>
            <w:shd w:val="clear" w:color="auto" w:fill="auto"/>
            <w:noWrap/>
            <w:vAlign w:val="center"/>
            <w:hideMark/>
          </w:tcPr>
          <w:p w14:paraId="6FFE6545"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0.00%</w:t>
            </w:r>
          </w:p>
        </w:tc>
        <w:tc>
          <w:tcPr>
            <w:tcW w:w="869" w:type="dxa"/>
            <w:tcBorders>
              <w:top w:val="nil"/>
              <w:left w:val="nil"/>
              <w:bottom w:val="single" w:sz="8" w:space="0" w:color="auto"/>
              <w:right w:val="single" w:sz="4" w:space="0" w:color="auto"/>
            </w:tcBorders>
            <w:shd w:val="clear" w:color="auto" w:fill="auto"/>
            <w:noWrap/>
            <w:vAlign w:val="center"/>
            <w:hideMark/>
          </w:tcPr>
          <w:p w14:paraId="0D7FE8F4"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0.00%</w:t>
            </w:r>
          </w:p>
        </w:tc>
        <w:tc>
          <w:tcPr>
            <w:tcW w:w="782" w:type="dxa"/>
            <w:tcBorders>
              <w:top w:val="nil"/>
              <w:left w:val="nil"/>
              <w:bottom w:val="single" w:sz="8" w:space="0" w:color="auto"/>
              <w:right w:val="nil"/>
            </w:tcBorders>
            <w:shd w:val="clear" w:color="auto" w:fill="auto"/>
            <w:noWrap/>
            <w:vAlign w:val="center"/>
            <w:hideMark/>
          </w:tcPr>
          <w:p w14:paraId="7F1886DE"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99.4%</w:t>
            </w:r>
          </w:p>
        </w:tc>
        <w:tc>
          <w:tcPr>
            <w:tcW w:w="926" w:type="dxa"/>
            <w:tcBorders>
              <w:top w:val="nil"/>
              <w:left w:val="nil"/>
              <w:bottom w:val="single" w:sz="8" w:space="0" w:color="auto"/>
              <w:right w:val="nil"/>
            </w:tcBorders>
            <w:shd w:val="clear" w:color="auto" w:fill="auto"/>
            <w:noWrap/>
            <w:vAlign w:val="center"/>
            <w:hideMark/>
          </w:tcPr>
          <w:p w14:paraId="6AFAF59F"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100.2%</w:t>
            </w:r>
          </w:p>
        </w:tc>
        <w:tc>
          <w:tcPr>
            <w:tcW w:w="1476" w:type="dxa"/>
            <w:tcBorders>
              <w:top w:val="nil"/>
              <w:left w:val="single" w:sz="4" w:space="0" w:color="auto"/>
              <w:bottom w:val="single" w:sz="8" w:space="0" w:color="auto"/>
              <w:right w:val="nil"/>
            </w:tcBorders>
            <w:shd w:val="clear" w:color="auto" w:fill="auto"/>
            <w:noWrap/>
            <w:vAlign w:val="center"/>
            <w:hideMark/>
          </w:tcPr>
          <w:p w14:paraId="38ADC215"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100.2%</w:t>
            </w:r>
          </w:p>
        </w:tc>
        <w:tc>
          <w:tcPr>
            <w:tcW w:w="1490" w:type="dxa"/>
            <w:tcBorders>
              <w:top w:val="nil"/>
              <w:left w:val="nil"/>
              <w:bottom w:val="single" w:sz="8" w:space="0" w:color="auto"/>
              <w:right w:val="single" w:sz="8" w:space="0" w:color="auto"/>
            </w:tcBorders>
            <w:shd w:val="clear" w:color="auto" w:fill="auto"/>
            <w:noWrap/>
            <w:vAlign w:val="center"/>
            <w:hideMark/>
          </w:tcPr>
          <w:p w14:paraId="7CFB7A10" w14:textId="77777777" w:rsidR="001E055C" w:rsidRPr="001E055C" w:rsidRDefault="001E055C" w:rsidP="001E05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E055C">
              <w:rPr>
                <w:rFonts w:ascii="Arial" w:hAnsi="Arial" w:cs="Arial"/>
                <w:color w:val="000000"/>
                <w:sz w:val="18"/>
                <w:szCs w:val="18"/>
                <w:lang w:eastAsia="zh-CN"/>
              </w:rPr>
              <w:t>100.2%</w:t>
            </w:r>
          </w:p>
        </w:tc>
      </w:tr>
    </w:tbl>
    <w:p w14:paraId="74CCF2A7" w14:textId="7E35D19D" w:rsidR="00CD5B06" w:rsidRDefault="00CD5B06" w:rsidP="00CD5B06">
      <w:pPr>
        <w:rPr>
          <w:lang w:val="en-CA"/>
        </w:rPr>
      </w:pPr>
    </w:p>
    <w:p w14:paraId="755A5082" w14:textId="369F899C" w:rsidR="00F96023" w:rsidRDefault="00F96023" w:rsidP="00DB4992">
      <w:pPr>
        <w:pStyle w:val="Heading1"/>
        <w:rPr>
          <w:lang w:val="en-CA"/>
        </w:rPr>
      </w:pPr>
      <w:r>
        <w:rPr>
          <w:lang w:val="en-CA"/>
        </w:rPr>
        <w:t>Conclusion</w:t>
      </w:r>
      <w:r w:rsidR="00DB4992">
        <w:rPr>
          <w:lang w:val="en-CA"/>
        </w:rPr>
        <w:t>s</w:t>
      </w:r>
    </w:p>
    <w:p w14:paraId="1F3F7DE6" w14:textId="11AC3C53" w:rsidR="00DB4992" w:rsidRPr="009D6103" w:rsidRDefault="009D6103" w:rsidP="00DB4992">
      <w:pPr>
        <w:rPr>
          <w:lang w:val="en-CA"/>
        </w:rPr>
      </w:pPr>
      <w:r>
        <w:rPr>
          <w:lang w:val="en-CA"/>
        </w:rPr>
        <w:t xml:space="preserve">This contribution </w:t>
      </w:r>
      <w:r w:rsidR="00C91422">
        <w:rPr>
          <w:lang w:val="en-CA"/>
        </w:rPr>
        <w:t>reports</w:t>
      </w:r>
      <w:r>
        <w:rPr>
          <w:lang w:val="en-CA"/>
        </w:rPr>
        <w:t xml:space="preserve"> </w:t>
      </w:r>
      <w:r w:rsidR="00053C95">
        <w:rPr>
          <w:lang w:val="en-CA"/>
        </w:rPr>
        <w:t>results of EE2 Test 2.2 on regression-based GPM intra-inter prediction modification</w:t>
      </w:r>
      <w:r w:rsidR="009B23DD">
        <w:rPr>
          <w:lang w:val="en-CA"/>
        </w:rPr>
        <w:t xml:space="preserve">. </w:t>
      </w:r>
      <w:r w:rsidR="009A733A">
        <w:rPr>
          <w:lang w:val="en-CA"/>
        </w:rPr>
        <w:t>In the test, t</w:t>
      </w:r>
      <w:r w:rsidR="009B23DD">
        <w:rPr>
          <w:lang w:val="en-CA"/>
        </w:rPr>
        <w:t>wo</w:t>
      </w:r>
      <w:r>
        <w:rPr>
          <w:lang w:val="en-CA"/>
        </w:rPr>
        <w:t xml:space="preserve"> alternative modifications</w:t>
      </w:r>
      <w:r w:rsidR="009A733A">
        <w:rPr>
          <w:lang w:val="en-CA"/>
        </w:rPr>
        <w:t xml:space="preserve"> are proposed</w:t>
      </w:r>
      <w:r>
        <w:rPr>
          <w:lang w:val="en-CA"/>
        </w:rPr>
        <w:t xml:space="preserve"> to address the asserted inconsistencies within the regression-based </w:t>
      </w:r>
      <w:r w:rsidR="008C453E">
        <w:rPr>
          <w:lang w:val="en-CA"/>
        </w:rPr>
        <w:t xml:space="preserve">GPM </w:t>
      </w:r>
      <w:r>
        <w:rPr>
          <w:lang w:val="en-CA"/>
        </w:rPr>
        <w:t>intra</w:t>
      </w:r>
      <w:r w:rsidR="008C453E">
        <w:rPr>
          <w:lang w:val="en-CA"/>
        </w:rPr>
        <w:t>-</w:t>
      </w:r>
      <w:r>
        <w:rPr>
          <w:lang w:val="en-CA"/>
        </w:rPr>
        <w:t>inter prediction when LMCS is enabled. It is asserted that the proposed modifications are straightforward and improve compression efficiency. It is proposed to adopt one of the alternatives to the next version of ECM.</w:t>
      </w:r>
    </w:p>
    <w:p w14:paraId="19C0EF3A" w14:textId="77777777" w:rsidR="00DB4992" w:rsidRDefault="00DB4992" w:rsidP="00DB4992">
      <w:pPr>
        <w:rPr>
          <w:lang w:val="en-CA"/>
        </w:rPr>
      </w:pPr>
    </w:p>
    <w:p w14:paraId="1A2376B9" w14:textId="1FBD2A0F" w:rsidR="00DB4992" w:rsidRDefault="00DB4992" w:rsidP="00DB4992">
      <w:pPr>
        <w:pStyle w:val="Heading1"/>
        <w:rPr>
          <w:lang w:val="en-CA"/>
        </w:rPr>
      </w:pPr>
      <w:r>
        <w:rPr>
          <w:lang w:val="en-CA"/>
        </w:rPr>
        <w:t>References</w:t>
      </w:r>
    </w:p>
    <w:p w14:paraId="3C81AB8A" w14:textId="56DF9DE9" w:rsidR="007D714D" w:rsidRDefault="007D714D" w:rsidP="007D714D">
      <w:pPr>
        <w:rPr>
          <w:szCs w:val="22"/>
          <w:lang w:val="en-CA"/>
        </w:rPr>
      </w:pPr>
      <w:bookmarkStart w:id="1" w:name="_Ref139638680"/>
      <w:bookmarkStart w:id="2" w:name="_Ref99180913"/>
      <w:bookmarkStart w:id="3" w:name="_Ref84249346"/>
      <w:bookmarkStart w:id="4" w:name="_Ref74822149"/>
      <w:bookmarkStart w:id="5" w:name="_Ref27482156"/>
      <w:bookmarkStart w:id="6" w:name="_Ref534931560"/>
      <w:r>
        <w:rPr>
          <w:szCs w:val="22"/>
          <w:lang w:val="en-CA"/>
        </w:rPr>
        <w:t xml:space="preserve">[1] </w:t>
      </w:r>
      <w:r w:rsidR="000C4286" w:rsidRPr="000C4286">
        <w:rPr>
          <w:szCs w:val="22"/>
          <w:lang w:val="en-CA"/>
        </w:rPr>
        <w:t>R. Yu, V. Seregin, M. Karczewicz</w:t>
      </w:r>
      <w:r>
        <w:rPr>
          <w:szCs w:val="22"/>
          <w:lang w:val="en-CA"/>
        </w:rPr>
        <w:t>, “</w:t>
      </w:r>
      <w:r w:rsidR="000C4286" w:rsidRPr="000C4286">
        <w:t>AHG12: Modifications to regression-based GPM with intra and inter prediction</w:t>
      </w:r>
      <w:r>
        <w:t>”</w:t>
      </w:r>
      <w:r>
        <w:rPr>
          <w:szCs w:val="22"/>
          <w:lang w:val="en-CA"/>
        </w:rPr>
        <w:t xml:space="preserve">, </w:t>
      </w:r>
      <w:r w:rsidR="000C4286" w:rsidRPr="000C4286">
        <w:rPr>
          <w:szCs w:val="22"/>
          <w:lang w:val="en-CA"/>
        </w:rPr>
        <w:t>JVET-AL0082</w:t>
      </w:r>
      <w:r>
        <w:rPr>
          <w:szCs w:val="22"/>
          <w:lang w:val="en-CA"/>
        </w:rPr>
        <w:t xml:space="preserve">, </w:t>
      </w:r>
      <w:r w:rsidR="001A72F7">
        <w:rPr>
          <w:szCs w:val="22"/>
          <w:lang w:val="en-CA"/>
        </w:rPr>
        <w:t>March</w:t>
      </w:r>
      <w:r>
        <w:rPr>
          <w:szCs w:val="22"/>
          <w:lang w:val="en-CA"/>
        </w:rPr>
        <w:t xml:space="preserve"> 2025</w:t>
      </w:r>
    </w:p>
    <w:p w14:paraId="559E9EBB" w14:textId="4448B153" w:rsidR="007D714D" w:rsidRDefault="007D714D" w:rsidP="007D714D">
      <w:pPr>
        <w:rPr>
          <w:szCs w:val="22"/>
          <w:lang w:val="en-CA"/>
        </w:rPr>
      </w:pPr>
      <w:r>
        <w:rPr>
          <w:szCs w:val="22"/>
          <w:lang w:val="en-CA"/>
        </w:rPr>
        <w:t>[2] ECM-1</w:t>
      </w:r>
      <w:r w:rsidR="00284E52">
        <w:rPr>
          <w:szCs w:val="22"/>
          <w:lang w:val="en-CA"/>
        </w:rPr>
        <w:t>7.0</w:t>
      </w:r>
      <w:r>
        <w:rPr>
          <w:szCs w:val="22"/>
          <w:lang w:val="en-CA"/>
        </w:rPr>
        <w:t xml:space="preserve">, </w:t>
      </w:r>
      <w:bookmarkEnd w:id="1"/>
      <w:r w:rsidR="00284E52" w:rsidRPr="00284E52">
        <w:rPr>
          <w:szCs w:val="22"/>
          <w:lang w:val="en-CA"/>
        </w:rPr>
        <w:t>https://vcgit.hhi.fraunhofer.de/ecm/ECM/-/tags/ECM-17.0</w:t>
      </w:r>
    </w:p>
    <w:p w14:paraId="2741A23E" w14:textId="6485FF62" w:rsidR="00DB4992" w:rsidRPr="007D714D" w:rsidRDefault="007D714D" w:rsidP="00DB4992">
      <w:pPr>
        <w:rPr>
          <w:rFonts w:eastAsia="SimSun"/>
          <w:color w:val="222222"/>
          <w:szCs w:val="22"/>
          <w:lang w:eastAsia="zh-CN"/>
        </w:rPr>
      </w:pPr>
      <w:bookmarkStart w:id="7" w:name="_Ref139631321"/>
      <w:bookmarkEnd w:id="2"/>
      <w:bookmarkEnd w:id="3"/>
      <w:bookmarkEnd w:id="4"/>
      <w:bookmarkEnd w:id="5"/>
      <w:bookmarkEnd w:id="6"/>
      <w:r>
        <w:rPr>
          <w:szCs w:val="22"/>
          <w:lang w:val="en-CA" w:eastAsia="ja-JP"/>
        </w:rPr>
        <w:lastRenderedPageBreak/>
        <w:t>[3]</w:t>
      </w:r>
      <w:bookmarkEnd w:id="7"/>
      <w:r>
        <w:rPr>
          <w:szCs w:val="22"/>
          <w:lang w:val="en-CA" w:eastAsia="ja-JP"/>
        </w:rPr>
        <w:t xml:space="preserve"> </w:t>
      </w:r>
      <w:r>
        <w:rPr>
          <w:rFonts w:eastAsia="SimSun"/>
          <w:color w:val="222222"/>
          <w:szCs w:val="22"/>
          <w:lang w:eastAsia="zh-CN"/>
        </w:rPr>
        <w:t xml:space="preserve">M. Karczewicz and Y. Ye, “Common Test Conditions and evaluation procedures for enhanced compression tool testing”, </w:t>
      </w:r>
      <w:r w:rsidRPr="00067AC5">
        <w:rPr>
          <w:rFonts w:eastAsia="SimSun"/>
          <w:color w:val="222222"/>
          <w:szCs w:val="22"/>
          <w:lang w:eastAsia="zh-CN"/>
        </w:rPr>
        <w:t>JVET-AI2017</w:t>
      </w:r>
      <w:r>
        <w:rPr>
          <w:rFonts w:eastAsia="SimSun"/>
          <w:color w:val="222222"/>
          <w:szCs w:val="22"/>
          <w:lang w:eastAsia="zh-CN"/>
        </w:rPr>
        <w:t>, July 2024</w:t>
      </w:r>
    </w:p>
    <w:p w14:paraId="143435B1" w14:textId="33C79EDC" w:rsidR="00DB4992" w:rsidRPr="00DB4992" w:rsidRDefault="00DB4992" w:rsidP="00DB4992">
      <w:pPr>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F8FCA96" w:rsidR="00342FF4" w:rsidRPr="005B217D" w:rsidRDefault="000647E1" w:rsidP="009234A5">
      <w:pPr>
        <w:rPr>
          <w:szCs w:val="22"/>
          <w:lang w:val="en-CA"/>
        </w:rPr>
      </w:pPr>
      <w:r w:rsidRPr="000647E1">
        <w:rPr>
          <w:b/>
          <w:szCs w:val="22"/>
          <w:lang w:val="en-CA"/>
        </w:rPr>
        <w:t xml:space="preserve">Qualcomm Incorporated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0"/>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908E9" w14:textId="77777777" w:rsidR="00EB7937" w:rsidRDefault="00EB7937">
      <w:r>
        <w:separator/>
      </w:r>
    </w:p>
  </w:endnote>
  <w:endnote w:type="continuationSeparator" w:id="0">
    <w:p w14:paraId="32BEBF8B" w14:textId="77777777" w:rsidR="00EB7937" w:rsidRDefault="00EB7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216165D4"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A87F19">
      <w:rPr>
        <w:rStyle w:val="PageNumber"/>
        <w:noProof/>
      </w:rPr>
      <w:t>2025-06-19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C304F" w14:textId="77777777" w:rsidR="00EB7937" w:rsidRDefault="00EB7937">
      <w:r>
        <w:separator/>
      </w:r>
    </w:p>
  </w:footnote>
  <w:footnote w:type="continuationSeparator" w:id="0">
    <w:p w14:paraId="443DE078" w14:textId="77777777" w:rsidR="00EB7937" w:rsidRDefault="00EB79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210641515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42353775">
    <w:abstractNumId w:val="9"/>
  </w:num>
  <w:num w:numId="3" w16cid:durableId="1995527375">
    <w:abstractNumId w:val="8"/>
  </w:num>
  <w:num w:numId="4" w16cid:durableId="2116899424">
    <w:abstractNumId w:val="6"/>
  </w:num>
  <w:num w:numId="5" w16cid:durableId="634023378">
    <w:abstractNumId w:val="7"/>
  </w:num>
  <w:num w:numId="6" w16cid:durableId="1473325134">
    <w:abstractNumId w:val="4"/>
  </w:num>
  <w:num w:numId="7" w16cid:durableId="22903597">
    <w:abstractNumId w:val="5"/>
  </w:num>
  <w:num w:numId="8" w16cid:durableId="1941790572">
    <w:abstractNumId w:val="4"/>
  </w:num>
  <w:num w:numId="9" w16cid:durableId="1848671611">
    <w:abstractNumId w:val="1"/>
  </w:num>
  <w:num w:numId="10" w16cid:durableId="770200755">
    <w:abstractNumId w:val="3"/>
  </w:num>
  <w:num w:numId="11" w16cid:durableId="8950451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77DF"/>
    <w:rsid w:val="00014178"/>
    <w:rsid w:val="000308A3"/>
    <w:rsid w:val="000311BD"/>
    <w:rsid w:val="0004543A"/>
    <w:rsid w:val="000458BC"/>
    <w:rsid w:val="00045C41"/>
    <w:rsid w:val="00046C03"/>
    <w:rsid w:val="00053C95"/>
    <w:rsid w:val="000647E1"/>
    <w:rsid w:val="00065039"/>
    <w:rsid w:val="0007614F"/>
    <w:rsid w:val="0007766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4286"/>
    <w:rsid w:val="000C5F4C"/>
    <w:rsid w:val="000E00F3"/>
    <w:rsid w:val="000E14F2"/>
    <w:rsid w:val="000E553A"/>
    <w:rsid w:val="000F158C"/>
    <w:rsid w:val="00102F3D"/>
    <w:rsid w:val="001200F4"/>
    <w:rsid w:val="00120B00"/>
    <w:rsid w:val="00124E38"/>
    <w:rsid w:val="0012580B"/>
    <w:rsid w:val="00131F90"/>
    <w:rsid w:val="0013458C"/>
    <w:rsid w:val="0013526E"/>
    <w:rsid w:val="00146152"/>
    <w:rsid w:val="00155526"/>
    <w:rsid w:val="001661D2"/>
    <w:rsid w:val="00171371"/>
    <w:rsid w:val="00175A24"/>
    <w:rsid w:val="00187429"/>
    <w:rsid w:val="00187BAA"/>
    <w:rsid w:val="00187E58"/>
    <w:rsid w:val="001A297E"/>
    <w:rsid w:val="001A368E"/>
    <w:rsid w:val="001A4555"/>
    <w:rsid w:val="001A72F7"/>
    <w:rsid w:val="001A7329"/>
    <w:rsid w:val="001A792F"/>
    <w:rsid w:val="001B4E28"/>
    <w:rsid w:val="001C3525"/>
    <w:rsid w:val="001C3AFB"/>
    <w:rsid w:val="001C5650"/>
    <w:rsid w:val="001D07F0"/>
    <w:rsid w:val="001D1BD2"/>
    <w:rsid w:val="001E0248"/>
    <w:rsid w:val="001E02BE"/>
    <w:rsid w:val="001E055C"/>
    <w:rsid w:val="001E346C"/>
    <w:rsid w:val="001E3B37"/>
    <w:rsid w:val="001F2594"/>
    <w:rsid w:val="001F6A5E"/>
    <w:rsid w:val="002055A6"/>
    <w:rsid w:val="00206460"/>
    <w:rsid w:val="002069B4"/>
    <w:rsid w:val="00212649"/>
    <w:rsid w:val="00215DFC"/>
    <w:rsid w:val="002212DF"/>
    <w:rsid w:val="00222CD4"/>
    <w:rsid w:val="00225016"/>
    <w:rsid w:val="002253CA"/>
    <w:rsid w:val="002264A6"/>
    <w:rsid w:val="00227BA7"/>
    <w:rsid w:val="0023011C"/>
    <w:rsid w:val="002375C1"/>
    <w:rsid w:val="0024122B"/>
    <w:rsid w:val="00247E1E"/>
    <w:rsid w:val="0025445B"/>
    <w:rsid w:val="00255E54"/>
    <w:rsid w:val="00263398"/>
    <w:rsid w:val="00263B99"/>
    <w:rsid w:val="002647D8"/>
    <w:rsid w:val="00266F06"/>
    <w:rsid w:val="00275BCF"/>
    <w:rsid w:val="00280613"/>
    <w:rsid w:val="00284E52"/>
    <w:rsid w:val="00291E36"/>
    <w:rsid w:val="00292257"/>
    <w:rsid w:val="00295AE6"/>
    <w:rsid w:val="002A54E0"/>
    <w:rsid w:val="002B1595"/>
    <w:rsid w:val="002B191D"/>
    <w:rsid w:val="002B2E83"/>
    <w:rsid w:val="002C0F47"/>
    <w:rsid w:val="002D0AF6"/>
    <w:rsid w:val="002F164D"/>
    <w:rsid w:val="003021BC"/>
    <w:rsid w:val="00306206"/>
    <w:rsid w:val="00317D85"/>
    <w:rsid w:val="003272EE"/>
    <w:rsid w:val="00327C56"/>
    <w:rsid w:val="003315A1"/>
    <w:rsid w:val="003373EC"/>
    <w:rsid w:val="00342FF4"/>
    <w:rsid w:val="00344E5A"/>
    <w:rsid w:val="00346148"/>
    <w:rsid w:val="003669EA"/>
    <w:rsid w:val="003706CC"/>
    <w:rsid w:val="0037266D"/>
    <w:rsid w:val="00377710"/>
    <w:rsid w:val="003855CC"/>
    <w:rsid w:val="00392455"/>
    <w:rsid w:val="003A25F5"/>
    <w:rsid w:val="003A2D8E"/>
    <w:rsid w:val="003A367D"/>
    <w:rsid w:val="003A36A4"/>
    <w:rsid w:val="003A7CE6"/>
    <w:rsid w:val="003C20E4"/>
    <w:rsid w:val="003C369D"/>
    <w:rsid w:val="003D6342"/>
    <w:rsid w:val="003E6F90"/>
    <w:rsid w:val="003E73ED"/>
    <w:rsid w:val="003F5D0F"/>
    <w:rsid w:val="00414101"/>
    <w:rsid w:val="004219CF"/>
    <w:rsid w:val="004234F0"/>
    <w:rsid w:val="00427EEC"/>
    <w:rsid w:val="00433DDB"/>
    <w:rsid w:val="00435A29"/>
    <w:rsid w:val="00437619"/>
    <w:rsid w:val="004642E1"/>
    <w:rsid w:val="00465A1E"/>
    <w:rsid w:val="00466963"/>
    <w:rsid w:val="0046797E"/>
    <w:rsid w:val="00470B29"/>
    <w:rsid w:val="0049445A"/>
    <w:rsid w:val="004957D9"/>
    <w:rsid w:val="004A2A63"/>
    <w:rsid w:val="004A725F"/>
    <w:rsid w:val="004B210C"/>
    <w:rsid w:val="004B6170"/>
    <w:rsid w:val="004D405F"/>
    <w:rsid w:val="004E2D01"/>
    <w:rsid w:val="004E4F4F"/>
    <w:rsid w:val="004E6789"/>
    <w:rsid w:val="004F61E3"/>
    <w:rsid w:val="00502E10"/>
    <w:rsid w:val="0050354E"/>
    <w:rsid w:val="0051015C"/>
    <w:rsid w:val="00510458"/>
    <w:rsid w:val="00516CF1"/>
    <w:rsid w:val="005271B2"/>
    <w:rsid w:val="00531AE9"/>
    <w:rsid w:val="00536188"/>
    <w:rsid w:val="00550A66"/>
    <w:rsid w:val="00567EC7"/>
    <w:rsid w:val="00570013"/>
    <w:rsid w:val="005753EC"/>
    <w:rsid w:val="005801A2"/>
    <w:rsid w:val="00583A43"/>
    <w:rsid w:val="0058775B"/>
    <w:rsid w:val="00587CE1"/>
    <w:rsid w:val="005952A5"/>
    <w:rsid w:val="005A33A1"/>
    <w:rsid w:val="005A3517"/>
    <w:rsid w:val="005B217D"/>
    <w:rsid w:val="005C385F"/>
    <w:rsid w:val="005C4EF3"/>
    <w:rsid w:val="005C7C26"/>
    <w:rsid w:val="005D2FE4"/>
    <w:rsid w:val="005E1AC6"/>
    <w:rsid w:val="005E28AF"/>
    <w:rsid w:val="005E3F2B"/>
    <w:rsid w:val="005E6175"/>
    <w:rsid w:val="005F6F1B"/>
    <w:rsid w:val="00602316"/>
    <w:rsid w:val="006038BC"/>
    <w:rsid w:val="00607AE1"/>
    <w:rsid w:val="00615995"/>
    <w:rsid w:val="00616155"/>
    <w:rsid w:val="00624B33"/>
    <w:rsid w:val="0063041A"/>
    <w:rsid w:val="00630AA2"/>
    <w:rsid w:val="00631D8B"/>
    <w:rsid w:val="00646707"/>
    <w:rsid w:val="00657F7E"/>
    <w:rsid w:val="00662E58"/>
    <w:rsid w:val="006637F2"/>
    <w:rsid w:val="006642A5"/>
    <w:rsid w:val="00664DCF"/>
    <w:rsid w:val="006669E7"/>
    <w:rsid w:val="00682881"/>
    <w:rsid w:val="006A0E5C"/>
    <w:rsid w:val="006A48E6"/>
    <w:rsid w:val="006C5D39"/>
    <w:rsid w:val="006C6F00"/>
    <w:rsid w:val="006D6D9B"/>
    <w:rsid w:val="006D7065"/>
    <w:rsid w:val="006E2810"/>
    <w:rsid w:val="006E4D0D"/>
    <w:rsid w:val="006E5417"/>
    <w:rsid w:val="006F0794"/>
    <w:rsid w:val="006F2822"/>
    <w:rsid w:val="006F6E01"/>
    <w:rsid w:val="006F7528"/>
    <w:rsid w:val="007023DE"/>
    <w:rsid w:val="00712F60"/>
    <w:rsid w:val="00720E3B"/>
    <w:rsid w:val="0073249C"/>
    <w:rsid w:val="00735925"/>
    <w:rsid w:val="007431BD"/>
    <w:rsid w:val="0074393F"/>
    <w:rsid w:val="00745F6B"/>
    <w:rsid w:val="0075175B"/>
    <w:rsid w:val="0075585E"/>
    <w:rsid w:val="00770571"/>
    <w:rsid w:val="007768FF"/>
    <w:rsid w:val="00777075"/>
    <w:rsid w:val="007824D3"/>
    <w:rsid w:val="00796EE3"/>
    <w:rsid w:val="007A61CA"/>
    <w:rsid w:val="007A7D29"/>
    <w:rsid w:val="007B4AB8"/>
    <w:rsid w:val="007C081C"/>
    <w:rsid w:val="007D1181"/>
    <w:rsid w:val="007D1955"/>
    <w:rsid w:val="007D648E"/>
    <w:rsid w:val="007D6700"/>
    <w:rsid w:val="007D714D"/>
    <w:rsid w:val="007E01A3"/>
    <w:rsid w:val="007F1F8B"/>
    <w:rsid w:val="007F6205"/>
    <w:rsid w:val="007F67A1"/>
    <w:rsid w:val="00801A7B"/>
    <w:rsid w:val="0081145F"/>
    <w:rsid w:val="00811C05"/>
    <w:rsid w:val="008206C8"/>
    <w:rsid w:val="008207D3"/>
    <w:rsid w:val="0086387C"/>
    <w:rsid w:val="00874A6C"/>
    <w:rsid w:val="00876C65"/>
    <w:rsid w:val="00882F72"/>
    <w:rsid w:val="00885534"/>
    <w:rsid w:val="00893DC4"/>
    <w:rsid w:val="008A147E"/>
    <w:rsid w:val="008A42F1"/>
    <w:rsid w:val="008A4B4C"/>
    <w:rsid w:val="008C239F"/>
    <w:rsid w:val="008C453E"/>
    <w:rsid w:val="008C60F8"/>
    <w:rsid w:val="008E480C"/>
    <w:rsid w:val="00907757"/>
    <w:rsid w:val="009212B0"/>
    <w:rsid w:val="00921FA1"/>
    <w:rsid w:val="009234A5"/>
    <w:rsid w:val="00925CE2"/>
    <w:rsid w:val="00933453"/>
    <w:rsid w:val="009336F7"/>
    <w:rsid w:val="0093636C"/>
    <w:rsid w:val="009374A7"/>
    <w:rsid w:val="00937F03"/>
    <w:rsid w:val="00955F6D"/>
    <w:rsid w:val="00962779"/>
    <w:rsid w:val="00973F56"/>
    <w:rsid w:val="00977C16"/>
    <w:rsid w:val="0098551D"/>
    <w:rsid w:val="009856FA"/>
    <w:rsid w:val="00985DCB"/>
    <w:rsid w:val="0099518F"/>
    <w:rsid w:val="009A523D"/>
    <w:rsid w:val="009A733A"/>
    <w:rsid w:val="009B02A1"/>
    <w:rsid w:val="009B23DD"/>
    <w:rsid w:val="009B3361"/>
    <w:rsid w:val="009B7F3F"/>
    <w:rsid w:val="009D3431"/>
    <w:rsid w:val="009D6103"/>
    <w:rsid w:val="009D7CE6"/>
    <w:rsid w:val="009E448E"/>
    <w:rsid w:val="009E6A00"/>
    <w:rsid w:val="009F496B"/>
    <w:rsid w:val="00A00AB8"/>
    <w:rsid w:val="00A01439"/>
    <w:rsid w:val="00A02E61"/>
    <w:rsid w:val="00A05CFF"/>
    <w:rsid w:val="00A13048"/>
    <w:rsid w:val="00A46843"/>
    <w:rsid w:val="00A50111"/>
    <w:rsid w:val="00A56B97"/>
    <w:rsid w:val="00A6093D"/>
    <w:rsid w:val="00A703CE"/>
    <w:rsid w:val="00A70B0D"/>
    <w:rsid w:val="00A72017"/>
    <w:rsid w:val="00A754FB"/>
    <w:rsid w:val="00A767DC"/>
    <w:rsid w:val="00A76A6D"/>
    <w:rsid w:val="00A77177"/>
    <w:rsid w:val="00A83253"/>
    <w:rsid w:val="00A85B8F"/>
    <w:rsid w:val="00A87F19"/>
    <w:rsid w:val="00AA0DE3"/>
    <w:rsid w:val="00AA6DB6"/>
    <w:rsid w:val="00AA6E84"/>
    <w:rsid w:val="00AB1A1C"/>
    <w:rsid w:val="00AB4721"/>
    <w:rsid w:val="00AB7405"/>
    <w:rsid w:val="00AB75EF"/>
    <w:rsid w:val="00AD05A8"/>
    <w:rsid w:val="00AD1F9A"/>
    <w:rsid w:val="00AE341B"/>
    <w:rsid w:val="00AE4EA0"/>
    <w:rsid w:val="00AF51C5"/>
    <w:rsid w:val="00B01905"/>
    <w:rsid w:val="00B055A8"/>
    <w:rsid w:val="00B07CA7"/>
    <w:rsid w:val="00B1279A"/>
    <w:rsid w:val="00B3640F"/>
    <w:rsid w:val="00B4194A"/>
    <w:rsid w:val="00B41BEF"/>
    <w:rsid w:val="00B437E8"/>
    <w:rsid w:val="00B51F2C"/>
    <w:rsid w:val="00B5222E"/>
    <w:rsid w:val="00B53179"/>
    <w:rsid w:val="00B532EA"/>
    <w:rsid w:val="00B57A23"/>
    <w:rsid w:val="00B600CD"/>
    <w:rsid w:val="00B61C96"/>
    <w:rsid w:val="00B73A2A"/>
    <w:rsid w:val="00B75A51"/>
    <w:rsid w:val="00B8190D"/>
    <w:rsid w:val="00B827C6"/>
    <w:rsid w:val="00B94B06"/>
    <w:rsid w:val="00B94C28"/>
    <w:rsid w:val="00BB742F"/>
    <w:rsid w:val="00BC10BA"/>
    <w:rsid w:val="00BC5AFD"/>
    <w:rsid w:val="00BE7107"/>
    <w:rsid w:val="00BF62C4"/>
    <w:rsid w:val="00C00DDE"/>
    <w:rsid w:val="00C03088"/>
    <w:rsid w:val="00C04F43"/>
    <w:rsid w:val="00C05271"/>
    <w:rsid w:val="00C0609D"/>
    <w:rsid w:val="00C115AB"/>
    <w:rsid w:val="00C11670"/>
    <w:rsid w:val="00C26CCB"/>
    <w:rsid w:val="00C30249"/>
    <w:rsid w:val="00C35F74"/>
    <w:rsid w:val="00C3723B"/>
    <w:rsid w:val="00C42466"/>
    <w:rsid w:val="00C57694"/>
    <w:rsid w:val="00C606C9"/>
    <w:rsid w:val="00C80288"/>
    <w:rsid w:val="00C836F0"/>
    <w:rsid w:val="00C84003"/>
    <w:rsid w:val="00C90650"/>
    <w:rsid w:val="00C91422"/>
    <w:rsid w:val="00C96201"/>
    <w:rsid w:val="00C97D78"/>
    <w:rsid w:val="00CC2AAE"/>
    <w:rsid w:val="00CC5A42"/>
    <w:rsid w:val="00CD0EAB"/>
    <w:rsid w:val="00CD4F34"/>
    <w:rsid w:val="00CD5B06"/>
    <w:rsid w:val="00CE1770"/>
    <w:rsid w:val="00CE38AF"/>
    <w:rsid w:val="00CE5E02"/>
    <w:rsid w:val="00CF34DB"/>
    <w:rsid w:val="00CF3917"/>
    <w:rsid w:val="00CF558F"/>
    <w:rsid w:val="00D010C0"/>
    <w:rsid w:val="00D06B8B"/>
    <w:rsid w:val="00D073E2"/>
    <w:rsid w:val="00D1511D"/>
    <w:rsid w:val="00D1555A"/>
    <w:rsid w:val="00D32590"/>
    <w:rsid w:val="00D446EC"/>
    <w:rsid w:val="00D51BF0"/>
    <w:rsid w:val="00D531DB"/>
    <w:rsid w:val="00D55942"/>
    <w:rsid w:val="00D61B3D"/>
    <w:rsid w:val="00D807BF"/>
    <w:rsid w:val="00D82FCC"/>
    <w:rsid w:val="00DA1717"/>
    <w:rsid w:val="00DA17FC"/>
    <w:rsid w:val="00DA7887"/>
    <w:rsid w:val="00DB02BD"/>
    <w:rsid w:val="00DB2C26"/>
    <w:rsid w:val="00DB45C3"/>
    <w:rsid w:val="00DB4992"/>
    <w:rsid w:val="00DB6EE0"/>
    <w:rsid w:val="00DC0848"/>
    <w:rsid w:val="00DD02F4"/>
    <w:rsid w:val="00DD6622"/>
    <w:rsid w:val="00DE1C7C"/>
    <w:rsid w:val="00DE6B43"/>
    <w:rsid w:val="00DF2AF3"/>
    <w:rsid w:val="00E041C6"/>
    <w:rsid w:val="00E11923"/>
    <w:rsid w:val="00E207D8"/>
    <w:rsid w:val="00E262D4"/>
    <w:rsid w:val="00E36250"/>
    <w:rsid w:val="00E36841"/>
    <w:rsid w:val="00E47F2D"/>
    <w:rsid w:val="00E54511"/>
    <w:rsid w:val="00E60EDC"/>
    <w:rsid w:val="00E61DAC"/>
    <w:rsid w:val="00E72B80"/>
    <w:rsid w:val="00E758BA"/>
    <w:rsid w:val="00E75FE3"/>
    <w:rsid w:val="00E86C4C"/>
    <w:rsid w:val="00E907A3"/>
    <w:rsid w:val="00E938D1"/>
    <w:rsid w:val="00E97A84"/>
    <w:rsid w:val="00EA5AE0"/>
    <w:rsid w:val="00EB56E1"/>
    <w:rsid w:val="00EB7937"/>
    <w:rsid w:val="00EB7AB1"/>
    <w:rsid w:val="00EC32BD"/>
    <w:rsid w:val="00ED536F"/>
    <w:rsid w:val="00EE07BB"/>
    <w:rsid w:val="00EE1A85"/>
    <w:rsid w:val="00EE7CD8"/>
    <w:rsid w:val="00EF37F6"/>
    <w:rsid w:val="00EF48CC"/>
    <w:rsid w:val="00F00801"/>
    <w:rsid w:val="00F2488D"/>
    <w:rsid w:val="00F37B1F"/>
    <w:rsid w:val="00F519D5"/>
    <w:rsid w:val="00F601A0"/>
    <w:rsid w:val="00F60A3E"/>
    <w:rsid w:val="00F666CC"/>
    <w:rsid w:val="00F712E9"/>
    <w:rsid w:val="00F73032"/>
    <w:rsid w:val="00F82AD3"/>
    <w:rsid w:val="00F848FC"/>
    <w:rsid w:val="00F906F6"/>
    <w:rsid w:val="00F9282A"/>
    <w:rsid w:val="00F96023"/>
    <w:rsid w:val="00F96BAD"/>
    <w:rsid w:val="00FA139D"/>
    <w:rsid w:val="00FA60F5"/>
    <w:rsid w:val="00FB0E84"/>
    <w:rsid w:val="00FC2405"/>
    <w:rsid w:val="00FD01C2"/>
    <w:rsid w:val="00FE08C7"/>
    <w:rsid w:val="00FE595C"/>
    <w:rsid w:val="00FF0CE3"/>
    <w:rsid w:val="00FF13B0"/>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65938">
      <w:bodyDiv w:val="1"/>
      <w:marLeft w:val="0"/>
      <w:marRight w:val="0"/>
      <w:marTop w:val="0"/>
      <w:marBottom w:val="0"/>
      <w:divBdr>
        <w:top w:val="none" w:sz="0" w:space="0" w:color="auto"/>
        <w:left w:val="none" w:sz="0" w:space="0" w:color="auto"/>
        <w:bottom w:val="none" w:sz="0" w:space="0" w:color="auto"/>
        <w:right w:val="none" w:sz="0" w:space="0" w:color="auto"/>
      </w:divBdr>
    </w:div>
    <w:div w:id="123496740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ruoyyu@qti.qualcom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8f6f869-1ed0-46b3-a227-1d3e52347e28}" enabled="1" method="Standard" siteId="{98e9ba89-e1a1-4e38-9007-8bdabc25de1d}" removed="0"/>
</clbl:labelList>
</file>

<file path=docProps/app.xml><?xml version="1.0" encoding="utf-8"?>
<Properties xmlns="http://schemas.openxmlformats.org/officeDocument/2006/extended-properties" xmlns:vt="http://schemas.openxmlformats.org/officeDocument/2006/docPropsVTypes">
  <Template>Normal.dotm</Template>
  <TotalTime>165</TotalTime>
  <Pages>3</Pages>
  <Words>759</Words>
  <Characters>4404</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5153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Ruoyang Yu</cp:lastModifiedBy>
  <cp:revision>96</cp:revision>
  <cp:lastPrinted>1900-01-01T08:00:00Z</cp:lastPrinted>
  <dcterms:created xsi:type="dcterms:W3CDTF">2025-04-07T18:44:00Z</dcterms:created>
  <dcterms:modified xsi:type="dcterms:W3CDTF">2025-06-19T19:47:00Z</dcterms:modified>
</cp:coreProperties>
</file>