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CE1D6C"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09D1DEC" w:rsidR="00E61DAC" w:rsidRPr="005B217D" w:rsidRDefault="00735925" w:rsidP="00536188">
            <w:pPr>
              <w:tabs>
                <w:tab w:val="left" w:pos="7200"/>
              </w:tabs>
              <w:spacing w:before="0"/>
              <w:rPr>
                <w:b/>
                <w:szCs w:val="22"/>
                <w:lang w:val="en-CA"/>
              </w:rPr>
            </w:pPr>
            <w:r>
              <w:t>3</w:t>
            </w:r>
            <w:r w:rsidR="00FE08C7">
              <w:t>9</w:t>
            </w:r>
            <w:r w:rsidR="008A42F1">
              <w:t>th</w:t>
            </w:r>
            <w:r w:rsidR="00084393" w:rsidRPr="00B648F1">
              <w:t xml:space="preserve"> Meeting</w:t>
            </w:r>
            <w:r w:rsidR="00084393">
              <w:rPr>
                <w:lang w:val="en-CA"/>
              </w:rPr>
              <w:t>,</w:t>
            </w:r>
            <w:r w:rsidR="00084393" w:rsidRPr="00B648F1">
              <w:rPr>
                <w:lang w:val="en-CA"/>
              </w:rPr>
              <w:t xml:space="preserve"> </w:t>
            </w:r>
            <w:r w:rsidR="00FE08C7">
              <w:rPr>
                <w:lang w:val="en-CA"/>
              </w:rPr>
              <w:t>Daejeon</w:t>
            </w:r>
            <w:r w:rsidR="008A42F1">
              <w:rPr>
                <w:lang w:val="en-CA"/>
              </w:rPr>
              <w:t>,</w:t>
            </w:r>
            <w:r w:rsidR="00084393">
              <w:rPr>
                <w:lang w:val="en-CA"/>
              </w:rPr>
              <w:t xml:space="preserve"> </w:t>
            </w:r>
            <w:r w:rsidR="00FE08C7">
              <w:rPr>
                <w:lang w:val="en-CA"/>
              </w:rPr>
              <w:t xml:space="preserve">KR, </w:t>
            </w:r>
            <w:r w:rsidR="00607AE1">
              <w:rPr>
                <w:lang w:val="en-CA"/>
              </w:rPr>
              <w:t xml:space="preserve">26 </w:t>
            </w:r>
            <w:r w:rsidR="00FE08C7">
              <w:rPr>
                <w:lang w:val="en-CA"/>
              </w:rPr>
              <w:t>June</w:t>
            </w:r>
            <w:r w:rsidR="00607AE1">
              <w:rPr>
                <w:lang w:val="en-CA"/>
              </w:rPr>
              <w:t xml:space="preserve"> </w:t>
            </w:r>
            <w:r w:rsidR="00084393">
              <w:rPr>
                <w:lang w:val="en-CA"/>
              </w:rPr>
              <w:t>–</w:t>
            </w:r>
            <w:r w:rsidR="00607AE1">
              <w:rPr>
                <w:lang w:val="en-CA"/>
              </w:rPr>
              <w:t xml:space="preserve"> 4</w:t>
            </w:r>
            <w:r w:rsidR="00084393" w:rsidRPr="00B648F1">
              <w:rPr>
                <w:lang w:val="en-CA"/>
              </w:rPr>
              <w:t xml:space="preserve"> </w:t>
            </w:r>
            <w:r w:rsidR="00FE08C7">
              <w:rPr>
                <w:lang w:val="en-CA"/>
              </w:rPr>
              <w:t>July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26A87086"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FE08C7">
              <w:rPr>
                <w:lang w:val="en-CA"/>
              </w:rPr>
              <w:t>M</w:t>
            </w:r>
            <w:r w:rsidR="00F3297E">
              <w:rPr>
                <w:lang w:val="en-CA"/>
              </w:rPr>
              <w:t>0127</w:t>
            </w:r>
            <w:r w:rsidR="006A0E5C" w:rsidRPr="006A0E5C">
              <w:rPr>
                <w:lang w:val="en-CA"/>
              </w:rPr>
              <w:t>-v</w:t>
            </w:r>
            <w:r w:rsidR="00F3297E">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1214AB4" w:rsidR="00E61DAC" w:rsidRPr="005B217D" w:rsidRDefault="000C1593" w:rsidP="009D7CE6">
            <w:pPr>
              <w:spacing w:before="60" w:after="60"/>
              <w:rPr>
                <w:b/>
                <w:szCs w:val="22"/>
                <w:lang w:val="en-CA"/>
              </w:rPr>
            </w:pPr>
            <w:r w:rsidRPr="000C1593">
              <w:rPr>
                <w:b/>
                <w:szCs w:val="22"/>
                <w:lang w:val="en-CA"/>
              </w:rPr>
              <w:t>EE2-</w:t>
            </w:r>
            <w:r w:rsidR="00AA06DA">
              <w:rPr>
                <w:b/>
                <w:szCs w:val="22"/>
                <w:lang w:val="en-CA"/>
              </w:rPr>
              <w:t xml:space="preserve">3.6 </w:t>
            </w:r>
            <w:r w:rsidRPr="000C1593">
              <w:rPr>
                <w:b/>
                <w:szCs w:val="22"/>
                <w:lang w:val="en-CA"/>
              </w:rPr>
              <w:t>related: A</w:t>
            </w:r>
            <w:r w:rsidR="00215056">
              <w:rPr>
                <w:rFonts w:hint="eastAsia"/>
                <w:b/>
                <w:szCs w:val="22"/>
                <w:lang w:val="en-CA" w:eastAsia="zh-CN"/>
              </w:rPr>
              <w:t>dvanced</w:t>
            </w:r>
            <w:r w:rsidRPr="000C1593">
              <w:rPr>
                <w:b/>
                <w:szCs w:val="22"/>
                <w:lang w:val="en-CA"/>
              </w:rPr>
              <w:t xml:space="preserve"> Budget Control for TSRC</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7C6FA90" w:rsidR="00E61DAC" w:rsidRPr="005B217D" w:rsidRDefault="000C1593" w:rsidP="009D7CE6">
            <w:pPr>
              <w:spacing w:before="60" w:after="60"/>
              <w:rPr>
                <w:szCs w:val="22"/>
                <w:lang w:val="en-CA"/>
              </w:rPr>
            </w:pPr>
            <w:r w:rsidRPr="000C1593">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30E8876" w:rsidR="00E61DAC" w:rsidRPr="005B217D" w:rsidRDefault="000C1593" w:rsidP="005E1AC6">
            <w:pPr>
              <w:spacing w:before="60" w:after="60"/>
              <w:rPr>
                <w:szCs w:val="22"/>
                <w:lang w:val="en-CA"/>
              </w:rPr>
            </w:pPr>
            <w:r w:rsidRPr="000C1593">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0166BB2" w14:textId="277344EE" w:rsidR="00032350" w:rsidRPr="005B4C88" w:rsidRDefault="00032350" w:rsidP="00032350">
            <w:pPr>
              <w:snapToGrid w:val="0"/>
              <w:spacing w:before="60" w:after="60"/>
              <w:rPr>
                <w:szCs w:val="22"/>
                <w:lang w:val="en-CA"/>
              </w:rPr>
            </w:pPr>
            <w:proofErr w:type="spellStart"/>
            <w:r>
              <w:rPr>
                <w:szCs w:val="22"/>
                <w:lang w:val="en-CA"/>
              </w:rPr>
              <w:t>R</w:t>
            </w:r>
            <w:r>
              <w:rPr>
                <w:rFonts w:hint="eastAsia"/>
                <w:szCs w:val="22"/>
                <w:lang w:val="en-CA" w:eastAsia="zh-CN"/>
              </w:rPr>
              <w:t>uichen</w:t>
            </w:r>
            <w:proofErr w:type="spellEnd"/>
            <w:r>
              <w:rPr>
                <w:szCs w:val="22"/>
                <w:lang w:val="en-CA"/>
              </w:rPr>
              <w:t xml:space="preserve"> Xu,</w:t>
            </w:r>
          </w:p>
          <w:p w14:paraId="7BF6AB4F" w14:textId="30435BE8" w:rsidR="00032350" w:rsidRDefault="00032350" w:rsidP="00032350">
            <w:pPr>
              <w:snapToGrid w:val="0"/>
              <w:spacing w:before="60" w:after="60"/>
              <w:rPr>
                <w:szCs w:val="22"/>
                <w:lang w:val="en-CA"/>
              </w:rPr>
            </w:pPr>
            <w:r w:rsidRPr="005B4C88">
              <w:rPr>
                <w:szCs w:val="22"/>
                <w:lang w:val="en-CA"/>
              </w:rPr>
              <w:t>Wei Zhang,</w:t>
            </w:r>
          </w:p>
          <w:p w14:paraId="372E5BB0" w14:textId="0C282A97" w:rsidR="00032350" w:rsidRPr="005B4C88" w:rsidRDefault="00032350" w:rsidP="00032350">
            <w:pPr>
              <w:snapToGrid w:val="0"/>
              <w:spacing w:before="60" w:after="60"/>
              <w:rPr>
                <w:szCs w:val="22"/>
                <w:lang w:val="en-CA"/>
              </w:rPr>
            </w:pPr>
            <w:proofErr w:type="spellStart"/>
            <w:r w:rsidRPr="005B4C88">
              <w:rPr>
                <w:szCs w:val="22"/>
                <w:lang w:val="en-CA"/>
              </w:rPr>
              <w:t>Fuzheng</w:t>
            </w:r>
            <w:proofErr w:type="spellEnd"/>
            <w:r w:rsidRPr="005B4C88">
              <w:rPr>
                <w:szCs w:val="22"/>
                <w:lang w:val="en-CA"/>
              </w:rPr>
              <w:t xml:space="preserve"> Yang,</w:t>
            </w:r>
          </w:p>
          <w:p w14:paraId="5CFE76DE" w14:textId="77777777" w:rsidR="00032350" w:rsidRPr="005B4C88" w:rsidRDefault="00032350" w:rsidP="00032350">
            <w:pPr>
              <w:snapToGrid w:val="0"/>
              <w:spacing w:before="60" w:after="60"/>
              <w:rPr>
                <w:szCs w:val="22"/>
                <w:lang w:val="en-CA"/>
              </w:rPr>
            </w:pPr>
          </w:p>
          <w:p w14:paraId="2922FEE3" w14:textId="77777777" w:rsidR="00032350" w:rsidRPr="005B4C88" w:rsidRDefault="00032350" w:rsidP="00032350">
            <w:pPr>
              <w:snapToGrid w:val="0"/>
              <w:spacing w:before="60" w:after="60"/>
              <w:rPr>
                <w:szCs w:val="22"/>
                <w:lang w:val="en-CA"/>
              </w:rPr>
            </w:pPr>
            <w:r w:rsidRPr="005B4C88">
              <w:rPr>
                <w:szCs w:val="22"/>
                <w:lang w:val="en-CA"/>
              </w:rPr>
              <w:t>Bin Li,</w:t>
            </w:r>
          </w:p>
          <w:p w14:paraId="3E9914F2" w14:textId="77777777" w:rsidR="00032350" w:rsidRPr="005B4C88" w:rsidRDefault="00032350" w:rsidP="00032350">
            <w:pPr>
              <w:snapToGrid w:val="0"/>
              <w:spacing w:before="60" w:after="60"/>
              <w:rPr>
                <w:szCs w:val="22"/>
                <w:lang w:val="en-CA"/>
              </w:rPr>
            </w:pPr>
            <w:r w:rsidRPr="005B4C88">
              <w:rPr>
                <w:szCs w:val="22"/>
                <w:lang w:val="en-CA"/>
              </w:rPr>
              <w:t>Fang Xing,</w:t>
            </w:r>
          </w:p>
          <w:p w14:paraId="11C55086" w14:textId="77777777" w:rsidR="00032350" w:rsidRPr="005B4C88" w:rsidRDefault="00032350" w:rsidP="00032350">
            <w:pPr>
              <w:snapToGrid w:val="0"/>
              <w:spacing w:before="60" w:after="60"/>
              <w:rPr>
                <w:szCs w:val="22"/>
                <w:lang w:val="en-CA"/>
              </w:rPr>
            </w:pPr>
            <w:proofErr w:type="spellStart"/>
            <w:r>
              <w:rPr>
                <w:szCs w:val="22"/>
                <w:lang w:val="en-CA"/>
              </w:rPr>
              <w:t>Pengfei</w:t>
            </w:r>
            <w:proofErr w:type="spellEnd"/>
            <w:r>
              <w:rPr>
                <w:szCs w:val="22"/>
                <w:lang w:val="en-CA"/>
              </w:rPr>
              <w:t xml:space="preserve"> Han</w:t>
            </w:r>
            <w:r w:rsidRPr="005B4C88">
              <w:rPr>
                <w:szCs w:val="22"/>
                <w:lang w:val="en-CA"/>
              </w:rPr>
              <w:t>,</w:t>
            </w:r>
          </w:p>
          <w:p w14:paraId="02600C96" w14:textId="77777777" w:rsidR="00032350" w:rsidRDefault="00032350" w:rsidP="00032350">
            <w:pPr>
              <w:spacing w:before="60" w:after="60"/>
              <w:rPr>
                <w:szCs w:val="22"/>
                <w:lang w:val="en-CA"/>
              </w:rPr>
            </w:pPr>
            <w:proofErr w:type="spellStart"/>
            <w:r w:rsidRPr="005B4C88">
              <w:rPr>
                <w:szCs w:val="22"/>
                <w:lang w:val="en-CA"/>
              </w:rPr>
              <w:t>Zhikui</w:t>
            </w:r>
            <w:proofErr w:type="spellEnd"/>
            <w:r w:rsidRPr="005B4C88">
              <w:rPr>
                <w:szCs w:val="22"/>
                <w:lang w:val="en-CA"/>
              </w:rPr>
              <w:t xml:space="preserve"> Wang,</w:t>
            </w:r>
          </w:p>
          <w:p w14:paraId="49D81240" w14:textId="3E5B9BE5" w:rsidR="00032350" w:rsidRPr="00032350" w:rsidRDefault="00032350" w:rsidP="00032350">
            <w:pPr>
              <w:spacing w:before="60" w:after="60"/>
              <w:rPr>
                <w:szCs w:val="22"/>
                <w:lang w:val="en-CA" w:eastAsia="zh-CN"/>
              </w:rPr>
            </w:pPr>
            <w:r>
              <w:rPr>
                <w:rFonts w:hint="eastAsia"/>
                <w:szCs w:val="22"/>
                <w:lang w:val="en-CA" w:eastAsia="zh-CN"/>
              </w:rPr>
              <w:t>W</w:t>
            </w:r>
            <w:r>
              <w:rPr>
                <w:szCs w:val="22"/>
                <w:lang w:val="en-CA" w:eastAsia="zh-CN"/>
              </w:rPr>
              <w:t>ei Song,</w:t>
            </w:r>
          </w:p>
        </w:tc>
        <w:tc>
          <w:tcPr>
            <w:tcW w:w="900" w:type="dxa"/>
          </w:tcPr>
          <w:p w14:paraId="0140ECA2" w14:textId="017CCC3E" w:rsidR="00E61DAC" w:rsidRPr="005B217D" w:rsidRDefault="00E61DAC">
            <w:pPr>
              <w:spacing w:before="60" w:after="60"/>
              <w:rPr>
                <w:szCs w:val="22"/>
                <w:lang w:val="en-CA"/>
              </w:rPr>
            </w:pPr>
            <w:r w:rsidRPr="005B217D">
              <w:rPr>
                <w:szCs w:val="22"/>
                <w:lang w:val="en-CA"/>
              </w:rPr>
              <w:t>Email:</w:t>
            </w:r>
          </w:p>
        </w:tc>
        <w:tc>
          <w:tcPr>
            <w:tcW w:w="3060" w:type="dxa"/>
          </w:tcPr>
          <w:p w14:paraId="72ED770F" w14:textId="774A3D9C" w:rsidR="00032350" w:rsidRDefault="0093068B" w:rsidP="00032350">
            <w:pPr>
              <w:spacing w:before="60" w:after="60"/>
            </w:pPr>
            <w:hyperlink r:id="rId9" w:history="1">
              <w:r w:rsidR="00032350" w:rsidRPr="00115993">
                <w:rPr>
                  <w:rStyle w:val="a6"/>
                </w:rPr>
                <w:t>xuruichen@stu.xidian.edu.cn</w:t>
              </w:r>
            </w:hyperlink>
          </w:p>
          <w:p w14:paraId="11B664ED" w14:textId="77777777" w:rsidR="00032350" w:rsidRDefault="0093068B" w:rsidP="00032350">
            <w:pPr>
              <w:spacing w:before="60" w:after="60"/>
              <w:rPr>
                <w:szCs w:val="22"/>
                <w:lang w:val="en-CA"/>
              </w:rPr>
            </w:pPr>
            <w:hyperlink r:id="rId10" w:history="1">
              <w:r w:rsidR="00032350" w:rsidRPr="00CA5E11">
                <w:rPr>
                  <w:rStyle w:val="a6"/>
                  <w:szCs w:val="22"/>
                  <w:lang w:val="en-CA"/>
                </w:rPr>
                <w:t>wzhang@xidian.edu.cn</w:t>
              </w:r>
            </w:hyperlink>
          </w:p>
          <w:p w14:paraId="1D4AA14E" w14:textId="77777777" w:rsidR="00032350" w:rsidRPr="00166CDD" w:rsidRDefault="0093068B" w:rsidP="00032350">
            <w:pPr>
              <w:spacing w:before="0"/>
              <w:rPr>
                <w:szCs w:val="22"/>
              </w:rPr>
            </w:pPr>
            <w:hyperlink r:id="rId11" w:history="1">
              <w:r w:rsidR="00032350" w:rsidRPr="00762630">
                <w:rPr>
                  <w:rStyle w:val="a6"/>
                  <w:szCs w:val="22"/>
                </w:rPr>
                <w:t>fzhyang@mail.xidian.edu.cn</w:t>
              </w:r>
            </w:hyperlink>
          </w:p>
          <w:p w14:paraId="0E6C5FB9" w14:textId="77777777" w:rsidR="00E61DAC" w:rsidRDefault="00E61DAC" w:rsidP="005952A5">
            <w:pPr>
              <w:spacing w:before="60" w:after="60"/>
              <w:rPr>
                <w:szCs w:val="22"/>
                <w:lang w:val="en-CA"/>
              </w:rPr>
            </w:pPr>
          </w:p>
          <w:p w14:paraId="3438CF37" w14:textId="77777777" w:rsidR="00032350" w:rsidRDefault="0093068B" w:rsidP="00032350">
            <w:pPr>
              <w:spacing w:before="60" w:after="60"/>
              <w:rPr>
                <w:szCs w:val="22"/>
                <w:lang w:val="en-CA"/>
              </w:rPr>
            </w:pPr>
            <w:hyperlink r:id="rId12" w:history="1">
              <w:r w:rsidR="00032350" w:rsidRPr="00CA5E11">
                <w:rPr>
                  <w:rStyle w:val="a6"/>
                  <w:szCs w:val="22"/>
                  <w:lang w:val="en-CA"/>
                </w:rPr>
                <w:t>libin19@hisense.com</w:t>
              </w:r>
            </w:hyperlink>
          </w:p>
          <w:p w14:paraId="0272371E" w14:textId="77777777" w:rsidR="00032350" w:rsidRDefault="0093068B" w:rsidP="00032350">
            <w:pPr>
              <w:spacing w:before="60" w:after="60"/>
              <w:rPr>
                <w:szCs w:val="22"/>
                <w:lang w:val="en-CA"/>
              </w:rPr>
            </w:pPr>
            <w:hyperlink r:id="rId13" w:history="1">
              <w:r w:rsidR="00032350" w:rsidRPr="00CA5E11">
                <w:rPr>
                  <w:rStyle w:val="a6"/>
                  <w:szCs w:val="22"/>
                  <w:lang w:val="en-CA"/>
                </w:rPr>
                <w:t>xingfang@hisense.com</w:t>
              </w:r>
            </w:hyperlink>
          </w:p>
          <w:p w14:paraId="72B92DF9" w14:textId="77777777" w:rsidR="00032350" w:rsidRDefault="0093068B" w:rsidP="00032350">
            <w:pPr>
              <w:spacing w:before="60" w:after="60"/>
              <w:rPr>
                <w:szCs w:val="22"/>
                <w:lang w:val="en-CA"/>
              </w:rPr>
            </w:pPr>
            <w:hyperlink r:id="rId14" w:history="1">
              <w:r w:rsidR="00032350" w:rsidRPr="00CA5E11">
                <w:rPr>
                  <w:rStyle w:val="a6"/>
                  <w:szCs w:val="22"/>
                  <w:lang w:val="en-CA"/>
                </w:rPr>
                <w:t>hanpengfei4@hisense.com</w:t>
              </w:r>
            </w:hyperlink>
          </w:p>
          <w:p w14:paraId="39304818" w14:textId="77777777" w:rsidR="00032350" w:rsidRDefault="0093068B" w:rsidP="00032350">
            <w:pPr>
              <w:spacing w:before="60" w:after="60"/>
              <w:rPr>
                <w:rStyle w:val="a6"/>
                <w:szCs w:val="22"/>
                <w:lang w:val="en-CA"/>
              </w:rPr>
            </w:pPr>
            <w:hyperlink r:id="rId15" w:history="1">
              <w:r w:rsidR="00032350" w:rsidRPr="00CA5E11">
                <w:rPr>
                  <w:rStyle w:val="a6"/>
                  <w:szCs w:val="22"/>
                  <w:lang w:val="en-CA"/>
                </w:rPr>
                <w:t>wangzhikui@hisense.com</w:t>
              </w:r>
            </w:hyperlink>
          </w:p>
          <w:p w14:paraId="32C2ABFD" w14:textId="2932CCD0" w:rsidR="00032350" w:rsidRPr="00032350" w:rsidRDefault="0093068B" w:rsidP="00032350">
            <w:pPr>
              <w:spacing w:before="60" w:after="60"/>
              <w:rPr>
                <w:color w:val="0000FF"/>
                <w:szCs w:val="22"/>
                <w:u w:val="single"/>
                <w:lang w:val="en-CA"/>
              </w:rPr>
            </w:pPr>
            <w:hyperlink r:id="rId16" w:history="1">
              <w:r w:rsidR="00032350" w:rsidRPr="00032350">
                <w:rPr>
                  <w:rStyle w:val="a6"/>
                  <w:szCs w:val="22"/>
                  <w:lang w:val="en-CA"/>
                </w:rPr>
                <w:t>songwei15</w:t>
              </w:r>
              <w:r w:rsidR="00032350" w:rsidRPr="00CA5E11">
                <w:rPr>
                  <w:rStyle w:val="a6"/>
                  <w:szCs w:val="22"/>
                  <w:lang w:val="en-CA"/>
                </w:rPr>
                <w:t>@hisense.com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CA37E79" w:rsidR="00E61DAC" w:rsidRPr="005B217D" w:rsidRDefault="00215056">
            <w:pPr>
              <w:spacing w:before="60" w:after="60"/>
              <w:rPr>
                <w:szCs w:val="22"/>
                <w:lang w:val="en-CA"/>
              </w:rPr>
            </w:pPr>
            <w:proofErr w:type="spellStart"/>
            <w:r>
              <w:rPr>
                <w:szCs w:val="22"/>
                <w:lang w:val="en-CA"/>
              </w:rPr>
              <w:t>Xidian</w:t>
            </w:r>
            <w:proofErr w:type="spellEnd"/>
            <w:r>
              <w:rPr>
                <w:szCs w:val="22"/>
                <w:lang w:val="en-CA"/>
              </w:rPr>
              <w:t xml:space="preserve"> University</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3A7A13F4" w14:textId="762E406F" w:rsidR="00D87155" w:rsidRDefault="00D87155" w:rsidP="009234A5">
      <w:pPr>
        <w:rPr>
          <w:szCs w:val="22"/>
          <w:lang w:val="en-CA" w:eastAsia="zh-CN"/>
        </w:rPr>
      </w:pPr>
      <w:r w:rsidRPr="00D87155">
        <w:rPr>
          <w:szCs w:val="22"/>
          <w:lang w:val="en-CA" w:eastAsia="zh-CN"/>
        </w:rPr>
        <w:t>In TSRC, allocating the context budget with higher priority to syntax elements that have high coding efficiency can yield performance gains, as demonstrated in EE2-3.6b</w:t>
      </w:r>
      <w:r>
        <w:rPr>
          <w:szCs w:val="22"/>
          <w:lang w:val="en-CA"/>
        </w:rPr>
        <w:t xml:space="preserve"> [1]</w:t>
      </w:r>
      <w:r>
        <w:rPr>
          <w:rFonts w:hint="eastAsia"/>
          <w:szCs w:val="22"/>
          <w:lang w:val="en-CA" w:eastAsia="zh-CN"/>
        </w:rPr>
        <w:t>[</w:t>
      </w:r>
      <w:r>
        <w:rPr>
          <w:szCs w:val="22"/>
          <w:lang w:val="en-CA" w:eastAsia="zh-CN"/>
        </w:rPr>
        <w:t>2]</w:t>
      </w:r>
      <w:r w:rsidRPr="00D87155">
        <w:rPr>
          <w:szCs w:val="22"/>
          <w:lang w:val="en-CA" w:eastAsia="zh-CN"/>
        </w:rPr>
        <w:t xml:space="preserve">. Following this principle, this contribution proposes to increase the priority of </w:t>
      </w:r>
      <w:proofErr w:type="spellStart"/>
      <w:r w:rsidRPr="00D87155">
        <w:rPr>
          <w:szCs w:val="22"/>
          <w:lang w:val="en-CA" w:eastAsia="zh-CN"/>
        </w:rPr>
        <w:t>coeff_sign_flag</w:t>
      </w:r>
      <w:proofErr w:type="spellEnd"/>
      <w:r w:rsidRPr="00D87155">
        <w:rPr>
          <w:szCs w:val="22"/>
          <w:lang w:val="en-CA" w:eastAsia="zh-CN"/>
        </w:rPr>
        <w:t>, which also possesses a relatively high coding efficiency.</w:t>
      </w:r>
      <w:r>
        <w:rPr>
          <w:szCs w:val="22"/>
          <w:lang w:val="en-CA"/>
        </w:rPr>
        <w:t xml:space="preserve"> </w:t>
      </w:r>
      <w:r>
        <w:rPr>
          <w:szCs w:val="22"/>
          <w:lang w:val="en-CA" w:eastAsia="zh-CN"/>
        </w:rPr>
        <w:t xml:space="preserve"> </w:t>
      </w:r>
    </w:p>
    <w:p w14:paraId="43EB459F" w14:textId="4A987F99" w:rsidR="00AA06DA" w:rsidRDefault="00AA06DA" w:rsidP="009234A5">
      <w:pPr>
        <w:rPr>
          <w:lang w:val="en-CA" w:eastAsia="zh-CN"/>
        </w:rPr>
      </w:pPr>
      <w:r>
        <w:rPr>
          <w:lang w:val="en-CA" w:eastAsia="zh-CN"/>
        </w:rPr>
        <w:t>On top of ECM-17.0, simulation results of the proposed method + EE2-3.6b are reported as below:</w:t>
      </w:r>
    </w:p>
    <w:p w14:paraId="30E0B9C8" w14:textId="69F77F8E" w:rsidR="00AA06DA" w:rsidRPr="00AA06DA" w:rsidRDefault="00AA06DA" w:rsidP="00AA06DA">
      <w:pPr>
        <w:tabs>
          <w:tab w:val="clear" w:pos="720"/>
          <w:tab w:val="clear" w:pos="1080"/>
        </w:tabs>
        <w:rPr>
          <w:lang w:val="fr-FR" w:eastAsia="zh-CN"/>
        </w:rPr>
      </w:pPr>
      <w:r>
        <w:rPr>
          <w:lang w:val="fr-FR" w:eastAsia="zh-CN"/>
        </w:rPr>
        <w:t>The proposed method + EE2-3.6b over ECM-17.0 :</w:t>
      </w:r>
    </w:p>
    <w:p w14:paraId="5F0DE22D" w14:textId="77777777" w:rsidR="004B0D57" w:rsidRDefault="004B0D57" w:rsidP="004B0D57">
      <w:pPr>
        <w:rPr>
          <w:szCs w:val="22"/>
          <w:lang w:val="en-CA"/>
        </w:rPr>
      </w:pPr>
      <w:r w:rsidRPr="004043BA">
        <w:rPr>
          <w:i/>
          <w:iCs/>
          <w:szCs w:val="22"/>
          <w:lang w:val="en-CA"/>
        </w:rPr>
        <w:t>All-Intra</w:t>
      </w:r>
      <w:r>
        <w:rPr>
          <w:szCs w:val="22"/>
          <w:lang w:val="en-CA"/>
        </w:rPr>
        <w:t>:</w:t>
      </w:r>
    </w:p>
    <w:p w14:paraId="5E6234FB" w14:textId="5E746EA3" w:rsidR="004B0D57" w:rsidRPr="00784876" w:rsidRDefault="004B0D57" w:rsidP="004B0D57">
      <w:pPr>
        <w:rPr>
          <w:szCs w:val="22"/>
          <w:lang w:val="en-CA"/>
        </w:rPr>
      </w:pPr>
      <w:r w:rsidRPr="00784876">
        <w:rPr>
          <w:szCs w:val="22"/>
          <w:lang w:val="en-CA"/>
        </w:rPr>
        <w:t>Class F:</w:t>
      </w:r>
      <w:r w:rsidRPr="00784876">
        <w:rPr>
          <w:szCs w:val="22"/>
          <w:lang w:val="en-CA"/>
        </w:rPr>
        <w:tab/>
      </w:r>
      <w:r w:rsidRPr="00784876">
        <w:rPr>
          <w:szCs w:val="22"/>
          <w:lang w:val="en-CA"/>
        </w:rPr>
        <w:tab/>
      </w:r>
      <w:r w:rsidRPr="00784876">
        <w:rPr>
          <w:szCs w:val="22"/>
          <w:lang w:val="en-CA"/>
        </w:rPr>
        <w:tab/>
        <w:t xml:space="preserve"> {-0.1</w:t>
      </w:r>
      <w:r w:rsidR="00AA06DA">
        <w:rPr>
          <w:szCs w:val="22"/>
          <w:lang w:val="en-CA"/>
        </w:rPr>
        <w:t>2</w:t>
      </w:r>
      <w:r w:rsidRPr="00784876">
        <w:rPr>
          <w:szCs w:val="22"/>
          <w:lang w:val="en-CA"/>
        </w:rPr>
        <w:t>%, -0.</w:t>
      </w:r>
      <w:r>
        <w:rPr>
          <w:szCs w:val="22"/>
          <w:lang w:val="en-CA"/>
        </w:rPr>
        <w:t>0</w:t>
      </w:r>
      <w:r w:rsidR="00AA06DA">
        <w:rPr>
          <w:szCs w:val="22"/>
          <w:lang w:val="en-CA"/>
        </w:rPr>
        <w:t>1</w:t>
      </w:r>
      <w:r w:rsidRPr="00784876">
        <w:rPr>
          <w:szCs w:val="22"/>
          <w:lang w:val="en-CA"/>
        </w:rPr>
        <w:t>%, -0.</w:t>
      </w:r>
      <w:r w:rsidR="00AA06DA">
        <w:rPr>
          <w:szCs w:val="22"/>
          <w:lang w:val="en-CA"/>
        </w:rPr>
        <w:t>10</w:t>
      </w:r>
      <w:r w:rsidRPr="00784876">
        <w:rPr>
          <w:szCs w:val="22"/>
          <w:lang w:val="en-CA"/>
        </w:rPr>
        <w:t xml:space="preserve">%, </w:t>
      </w:r>
      <w:proofErr w:type="spellStart"/>
      <w:r>
        <w:rPr>
          <w:rFonts w:hint="eastAsia"/>
          <w:szCs w:val="22"/>
          <w:lang w:val="en-CA" w:eastAsia="zh-CN"/>
        </w:rPr>
        <w:t>xx</w:t>
      </w:r>
      <w:r>
        <w:rPr>
          <w:szCs w:val="22"/>
          <w:lang w:val="en-CA"/>
        </w:rPr>
        <w:t>.x</w:t>
      </w:r>
      <w:proofErr w:type="spellEnd"/>
      <w:r w:rsidRPr="00784876">
        <w:rPr>
          <w:szCs w:val="22"/>
          <w:lang w:val="en-CA"/>
        </w:rPr>
        <w:t xml:space="preserve">%, </w:t>
      </w:r>
      <w:proofErr w:type="spellStart"/>
      <w:r>
        <w:rPr>
          <w:szCs w:val="22"/>
          <w:lang w:val="en-CA"/>
        </w:rPr>
        <w:t>xx</w:t>
      </w:r>
      <w:r w:rsidRPr="00572FDD">
        <w:rPr>
          <w:szCs w:val="22"/>
          <w:lang w:val="en-CA"/>
        </w:rPr>
        <w:t>.</w:t>
      </w:r>
      <w:r>
        <w:rPr>
          <w:szCs w:val="22"/>
          <w:lang w:val="en-CA"/>
        </w:rPr>
        <w:t>x</w:t>
      </w:r>
      <w:proofErr w:type="spellEnd"/>
      <w:r w:rsidRPr="00784876">
        <w:rPr>
          <w:szCs w:val="22"/>
          <w:lang w:val="en-CA"/>
        </w:rPr>
        <w:t xml:space="preserve">%} </w:t>
      </w:r>
    </w:p>
    <w:p w14:paraId="7897691B" w14:textId="222C5C67" w:rsidR="004B0D57" w:rsidRPr="00784876" w:rsidRDefault="004B0D57" w:rsidP="004B0D57">
      <w:pPr>
        <w:rPr>
          <w:szCs w:val="22"/>
          <w:lang w:val="en-CA"/>
        </w:rPr>
      </w:pPr>
      <w:r w:rsidRPr="00784876">
        <w:rPr>
          <w:szCs w:val="22"/>
          <w:lang w:val="en-CA"/>
        </w:rPr>
        <w:t>Class TGM:</w:t>
      </w:r>
      <w:r w:rsidRPr="00784876">
        <w:rPr>
          <w:szCs w:val="22"/>
          <w:lang w:val="en-CA"/>
        </w:rPr>
        <w:tab/>
        <w:t xml:space="preserve"> {-0.</w:t>
      </w:r>
      <w:r>
        <w:rPr>
          <w:szCs w:val="22"/>
          <w:lang w:val="en-CA"/>
        </w:rPr>
        <w:t>2</w:t>
      </w:r>
      <w:r w:rsidR="00AA06DA">
        <w:rPr>
          <w:szCs w:val="22"/>
          <w:lang w:val="en-CA"/>
        </w:rPr>
        <w:t>3</w:t>
      </w:r>
      <w:r w:rsidRPr="00784876">
        <w:rPr>
          <w:szCs w:val="22"/>
          <w:lang w:val="en-CA"/>
        </w:rPr>
        <w:t>%, -0.</w:t>
      </w:r>
      <w:r w:rsidR="00AA06DA">
        <w:rPr>
          <w:szCs w:val="22"/>
          <w:lang w:val="en-CA"/>
        </w:rPr>
        <w:t>29</w:t>
      </w:r>
      <w:r w:rsidRPr="00784876">
        <w:rPr>
          <w:szCs w:val="22"/>
          <w:lang w:val="en-CA"/>
        </w:rPr>
        <w:t>%, -0.</w:t>
      </w:r>
      <w:r w:rsidR="00AA06DA">
        <w:rPr>
          <w:szCs w:val="22"/>
          <w:lang w:val="en-CA"/>
        </w:rPr>
        <w:t>28</w:t>
      </w:r>
      <w:r w:rsidRPr="00784876">
        <w:rPr>
          <w:szCs w:val="22"/>
          <w:lang w:val="en-CA"/>
        </w:rPr>
        <w:t xml:space="preserve">%, </w:t>
      </w:r>
      <w:proofErr w:type="spellStart"/>
      <w:r>
        <w:rPr>
          <w:szCs w:val="22"/>
          <w:lang w:val="en-CA"/>
        </w:rPr>
        <w:t>xx.x</w:t>
      </w:r>
      <w:proofErr w:type="spellEnd"/>
      <w:r w:rsidRPr="00784876">
        <w:rPr>
          <w:szCs w:val="22"/>
          <w:lang w:val="en-CA"/>
        </w:rPr>
        <w:t xml:space="preserve">%, </w:t>
      </w:r>
      <w:proofErr w:type="spellStart"/>
      <w:r>
        <w:rPr>
          <w:szCs w:val="22"/>
          <w:lang w:val="en-CA"/>
        </w:rPr>
        <w:t>xx</w:t>
      </w:r>
      <w:r w:rsidRPr="00572FDD">
        <w:rPr>
          <w:szCs w:val="22"/>
          <w:lang w:val="en-CA"/>
        </w:rPr>
        <w:t>.</w:t>
      </w:r>
      <w:r>
        <w:rPr>
          <w:szCs w:val="22"/>
          <w:lang w:val="en-CA"/>
        </w:rPr>
        <w:t>x</w:t>
      </w:r>
      <w:proofErr w:type="spellEnd"/>
      <w:r w:rsidRPr="00784876">
        <w:rPr>
          <w:szCs w:val="22"/>
          <w:lang w:val="en-CA"/>
        </w:rPr>
        <w:t>%}</w:t>
      </w:r>
    </w:p>
    <w:p w14:paraId="5EF0C249" w14:textId="0255B588" w:rsidR="00AA06DA" w:rsidRPr="00AA06DA" w:rsidRDefault="00AA06DA" w:rsidP="00AA06DA">
      <w:pPr>
        <w:tabs>
          <w:tab w:val="clear" w:pos="720"/>
          <w:tab w:val="clear" w:pos="1080"/>
        </w:tabs>
        <w:rPr>
          <w:lang w:val="fr-FR" w:eastAsia="zh-CN"/>
        </w:rPr>
      </w:pPr>
      <w:r>
        <w:rPr>
          <w:lang w:val="fr-FR" w:eastAsia="zh-CN"/>
        </w:rPr>
        <w:t>The proposed method + EE2-3.6b over EE2-3.6b :</w:t>
      </w:r>
    </w:p>
    <w:p w14:paraId="65D7FAC9" w14:textId="77777777" w:rsidR="00AA06DA" w:rsidRDefault="00AA06DA" w:rsidP="00AA06DA">
      <w:pPr>
        <w:rPr>
          <w:szCs w:val="22"/>
          <w:lang w:val="en-CA"/>
        </w:rPr>
      </w:pPr>
      <w:r w:rsidRPr="004043BA">
        <w:rPr>
          <w:i/>
          <w:iCs/>
          <w:szCs w:val="22"/>
          <w:lang w:val="en-CA"/>
        </w:rPr>
        <w:t>All-Intra</w:t>
      </w:r>
      <w:r>
        <w:rPr>
          <w:szCs w:val="22"/>
          <w:lang w:val="en-CA"/>
        </w:rPr>
        <w:t>:</w:t>
      </w:r>
    </w:p>
    <w:p w14:paraId="29BCE396" w14:textId="2808AEF3" w:rsidR="00AA06DA" w:rsidRPr="00784876" w:rsidRDefault="00AA06DA" w:rsidP="00AA06DA">
      <w:pPr>
        <w:rPr>
          <w:szCs w:val="22"/>
          <w:lang w:val="en-CA"/>
        </w:rPr>
      </w:pPr>
      <w:r w:rsidRPr="00784876">
        <w:rPr>
          <w:szCs w:val="22"/>
          <w:lang w:val="en-CA"/>
        </w:rPr>
        <w:t>Class F:</w:t>
      </w:r>
      <w:r w:rsidRPr="00784876">
        <w:rPr>
          <w:szCs w:val="22"/>
          <w:lang w:val="en-CA"/>
        </w:rPr>
        <w:tab/>
      </w:r>
      <w:r w:rsidRPr="00784876">
        <w:rPr>
          <w:szCs w:val="22"/>
          <w:lang w:val="en-CA"/>
        </w:rPr>
        <w:tab/>
      </w:r>
      <w:r w:rsidRPr="00784876">
        <w:rPr>
          <w:szCs w:val="22"/>
          <w:lang w:val="en-CA"/>
        </w:rPr>
        <w:tab/>
        <w:t xml:space="preserve"> {-0.</w:t>
      </w:r>
      <w:r>
        <w:rPr>
          <w:szCs w:val="22"/>
          <w:lang w:val="en-CA"/>
        </w:rPr>
        <w:t>01</w:t>
      </w:r>
      <w:r w:rsidRPr="00784876">
        <w:rPr>
          <w:szCs w:val="22"/>
          <w:lang w:val="en-CA"/>
        </w:rPr>
        <w:t xml:space="preserve">%, </w:t>
      </w:r>
      <w:r>
        <w:rPr>
          <w:szCs w:val="22"/>
          <w:lang w:val="en-CA"/>
        </w:rPr>
        <w:t>0.03</w:t>
      </w:r>
      <w:r w:rsidRPr="00784876">
        <w:rPr>
          <w:szCs w:val="22"/>
          <w:lang w:val="en-CA"/>
        </w:rPr>
        <w:t xml:space="preserve">%, </w:t>
      </w:r>
      <w:r>
        <w:rPr>
          <w:szCs w:val="22"/>
          <w:lang w:val="en-CA"/>
        </w:rPr>
        <w:t>0.19</w:t>
      </w:r>
      <w:r w:rsidRPr="00784876">
        <w:rPr>
          <w:szCs w:val="22"/>
          <w:lang w:val="en-CA"/>
        </w:rPr>
        <w:t xml:space="preserve">%, </w:t>
      </w:r>
      <w:proofErr w:type="spellStart"/>
      <w:r>
        <w:rPr>
          <w:rFonts w:hint="eastAsia"/>
          <w:szCs w:val="22"/>
          <w:lang w:val="en-CA" w:eastAsia="zh-CN"/>
        </w:rPr>
        <w:t>xx</w:t>
      </w:r>
      <w:r>
        <w:rPr>
          <w:szCs w:val="22"/>
          <w:lang w:val="en-CA"/>
        </w:rPr>
        <w:t>.x</w:t>
      </w:r>
      <w:proofErr w:type="spellEnd"/>
      <w:r w:rsidRPr="00784876">
        <w:rPr>
          <w:szCs w:val="22"/>
          <w:lang w:val="en-CA"/>
        </w:rPr>
        <w:t xml:space="preserve">%, </w:t>
      </w:r>
      <w:proofErr w:type="spellStart"/>
      <w:r>
        <w:rPr>
          <w:szCs w:val="22"/>
          <w:lang w:val="en-CA"/>
        </w:rPr>
        <w:t>xx</w:t>
      </w:r>
      <w:r w:rsidRPr="00572FDD">
        <w:rPr>
          <w:szCs w:val="22"/>
          <w:lang w:val="en-CA"/>
        </w:rPr>
        <w:t>.</w:t>
      </w:r>
      <w:r>
        <w:rPr>
          <w:szCs w:val="22"/>
          <w:lang w:val="en-CA"/>
        </w:rPr>
        <w:t>x</w:t>
      </w:r>
      <w:proofErr w:type="spellEnd"/>
      <w:r w:rsidRPr="00784876">
        <w:rPr>
          <w:szCs w:val="22"/>
          <w:lang w:val="en-CA"/>
        </w:rPr>
        <w:t xml:space="preserve">%} </w:t>
      </w:r>
    </w:p>
    <w:p w14:paraId="44BB4333" w14:textId="14A80F2F" w:rsidR="004B0D57" w:rsidRPr="00AA06DA" w:rsidRDefault="00AA06DA" w:rsidP="009234A5">
      <w:pPr>
        <w:rPr>
          <w:szCs w:val="22"/>
          <w:lang w:val="en-CA"/>
        </w:rPr>
      </w:pPr>
      <w:r w:rsidRPr="00784876">
        <w:rPr>
          <w:szCs w:val="22"/>
          <w:lang w:val="en-CA"/>
        </w:rPr>
        <w:t>Class TGM:</w:t>
      </w:r>
      <w:r w:rsidRPr="00784876">
        <w:rPr>
          <w:szCs w:val="22"/>
          <w:lang w:val="en-CA"/>
        </w:rPr>
        <w:tab/>
        <w:t xml:space="preserve"> {-0.</w:t>
      </w:r>
      <w:r>
        <w:rPr>
          <w:szCs w:val="22"/>
          <w:lang w:val="en-CA"/>
        </w:rPr>
        <w:t>04</w:t>
      </w:r>
      <w:r w:rsidRPr="00784876">
        <w:rPr>
          <w:szCs w:val="22"/>
          <w:lang w:val="en-CA"/>
        </w:rPr>
        <w:t>%, -0.</w:t>
      </w:r>
      <w:r>
        <w:rPr>
          <w:szCs w:val="22"/>
          <w:lang w:val="en-CA"/>
        </w:rPr>
        <w:t>03</w:t>
      </w:r>
      <w:r w:rsidRPr="00784876">
        <w:rPr>
          <w:szCs w:val="22"/>
          <w:lang w:val="en-CA"/>
        </w:rPr>
        <w:t>%, -0.</w:t>
      </w:r>
      <w:r>
        <w:rPr>
          <w:szCs w:val="22"/>
          <w:lang w:val="en-CA"/>
        </w:rPr>
        <w:t>02</w:t>
      </w:r>
      <w:r w:rsidRPr="00784876">
        <w:rPr>
          <w:szCs w:val="22"/>
          <w:lang w:val="en-CA"/>
        </w:rPr>
        <w:t xml:space="preserve">%, </w:t>
      </w:r>
      <w:proofErr w:type="spellStart"/>
      <w:r>
        <w:rPr>
          <w:szCs w:val="22"/>
          <w:lang w:val="en-CA"/>
        </w:rPr>
        <w:t>xx.x</w:t>
      </w:r>
      <w:proofErr w:type="spellEnd"/>
      <w:r w:rsidRPr="00784876">
        <w:rPr>
          <w:szCs w:val="22"/>
          <w:lang w:val="en-CA"/>
        </w:rPr>
        <w:t xml:space="preserve">%, </w:t>
      </w:r>
      <w:proofErr w:type="spellStart"/>
      <w:r>
        <w:rPr>
          <w:szCs w:val="22"/>
          <w:lang w:val="en-CA"/>
        </w:rPr>
        <w:t>xx</w:t>
      </w:r>
      <w:r w:rsidRPr="00572FDD">
        <w:rPr>
          <w:szCs w:val="22"/>
          <w:lang w:val="en-CA"/>
        </w:rPr>
        <w:t>.</w:t>
      </w:r>
      <w:r>
        <w:rPr>
          <w:szCs w:val="22"/>
          <w:lang w:val="en-CA"/>
        </w:rPr>
        <w:t>x</w:t>
      </w:r>
      <w:proofErr w:type="spellEnd"/>
      <w:r w:rsidRPr="00784876">
        <w:rPr>
          <w:szCs w:val="22"/>
          <w:lang w:val="en-CA"/>
        </w:rPr>
        <w:t>%}</w:t>
      </w:r>
    </w:p>
    <w:p w14:paraId="5F0CF8E4" w14:textId="7B7E5CAC" w:rsidR="001F2594" w:rsidRPr="00444C5F" w:rsidRDefault="00444C5F" w:rsidP="00444C5F">
      <w:pPr>
        <w:pStyle w:val="1"/>
        <w:rPr>
          <w:lang w:val="en-CA"/>
        </w:rPr>
      </w:pPr>
      <w:r w:rsidRPr="00444C5F">
        <w:rPr>
          <w:lang w:val="en-CA"/>
        </w:rPr>
        <w:t>Introduction</w:t>
      </w:r>
    </w:p>
    <w:p w14:paraId="049EE485" w14:textId="45CD93EE" w:rsidR="000B5FB1" w:rsidRPr="005B217D" w:rsidRDefault="002F658F" w:rsidP="00A83253">
      <w:pPr>
        <w:rPr>
          <w:szCs w:val="22"/>
          <w:lang w:val="en-CA"/>
        </w:rPr>
      </w:pPr>
      <w:r w:rsidRPr="002F658F">
        <w:rPr>
          <w:szCs w:val="22"/>
          <w:lang w:val="en-CA"/>
        </w:rPr>
        <w:t>In ECM-17.0, once the CABAC bin budget is exhausted, remaining coefficients are directly binarized and coded in</w:t>
      </w:r>
      <w:r>
        <w:rPr>
          <w:szCs w:val="22"/>
          <w:lang w:val="en-CA"/>
        </w:rPr>
        <w:t xml:space="preserve"> </w:t>
      </w:r>
      <w:r w:rsidRPr="002F658F">
        <w:rPr>
          <w:szCs w:val="22"/>
          <w:lang w:val="en-CA"/>
        </w:rPr>
        <w:t xml:space="preserve">bypass mode. Proposal EE2-3.6b demonstrated that prioritizing the context budget for </w:t>
      </w:r>
      <w:proofErr w:type="spellStart"/>
      <w:r w:rsidRPr="002F658F">
        <w:rPr>
          <w:szCs w:val="22"/>
          <w:lang w:val="en-CA"/>
        </w:rPr>
        <w:t>sig_coeff_flag</w:t>
      </w:r>
      <w:proofErr w:type="spellEnd"/>
      <w:r w:rsidRPr="002F658F">
        <w:rPr>
          <w:szCs w:val="22"/>
          <w:lang w:val="en-CA"/>
        </w:rPr>
        <w:t xml:space="preserve"> yields significant performance gains, owing to its high</w:t>
      </w:r>
      <w:r w:rsidR="00AC6494">
        <w:rPr>
          <w:rFonts w:hint="eastAsia"/>
          <w:szCs w:val="22"/>
          <w:lang w:val="en-CA" w:eastAsia="zh-CN"/>
        </w:rPr>
        <w:t>er</w:t>
      </w:r>
      <w:r w:rsidRPr="002F658F">
        <w:rPr>
          <w:szCs w:val="22"/>
          <w:lang w:val="en-CA"/>
        </w:rPr>
        <w:t xml:space="preserve"> coding efficiency relative to other syntax elements. Building on this principle, statistical analysis reveals that </w:t>
      </w:r>
      <w:proofErr w:type="spellStart"/>
      <w:r w:rsidRPr="002F658F">
        <w:rPr>
          <w:szCs w:val="22"/>
          <w:lang w:val="en-CA"/>
        </w:rPr>
        <w:t>coeff_sign_flag</w:t>
      </w:r>
      <w:proofErr w:type="spellEnd"/>
      <w:r w:rsidRPr="002F658F">
        <w:rPr>
          <w:szCs w:val="22"/>
          <w:lang w:val="en-CA"/>
        </w:rPr>
        <w:t xml:space="preserve"> also possesses a similarly high</w:t>
      </w:r>
      <w:r w:rsidR="00AC6494">
        <w:rPr>
          <w:szCs w:val="22"/>
          <w:lang w:val="en-CA"/>
        </w:rPr>
        <w:t>er</w:t>
      </w:r>
      <w:r w:rsidRPr="002F658F">
        <w:rPr>
          <w:szCs w:val="22"/>
          <w:lang w:val="en-CA"/>
        </w:rPr>
        <w:t xml:space="preserve"> coding efficiency</w:t>
      </w:r>
      <w:r w:rsidR="00AC6494">
        <w:rPr>
          <w:szCs w:val="22"/>
          <w:lang w:val="en-CA"/>
        </w:rPr>
        <w:t xml:space="preserve"> than other syntaxes</w:t>
      </w:r>
      <w:r w:rsidRPr="002F658F">
        <w:rPr>
          <w:szCs w:val="22"/>
          <w:lang w:val="en-CA"/>
        </w:rPr>
        <w:t xml:space="preserve">. Therefore, </w:t>
      </w:r>
      <w:r w:rsidR="00DE2711" w:rsidRPr="00523034">
        <w:rPr>
          <w:szCs w:val="22"/>
          <w:lang w:val="en-CA"/>
        </w:rPr>
        <w:t xml:space="preserve">increasing </w:t>
      </w:r>
      <w:r w:rsidR="00763594">
        <w:rPr>
          <w:rFonts w:hint="eastAsia"/>
          <w:szCs w:val="22"/>
          <w:lang w:val="en-CA" w:eastAsia="zh-CN"/>
        </w:rPr>
        <w:t>the</w:t>
      </w:r>
      <w:r w:rsidR="00DE2711" w:rsidRPr="00523034">
        <w:rPr>
          <w:szCs w:val="22"/>
          <w:lang w:val="en-CA"/>
        </w:rPr>
        <w:t xml:space="preserve"> priority</w:t>
      </w:r>
      <w:r w:rsidR="00DE2711">
        <w:rPr>
          <w:szCs w:val="22"/>
          <w:lang w:val="en-CA"/>
        </w:rPr>
        <w:t xml:space="preserve"> of </w:t>
      </w:r>
      <w:proofErr w:type="spellStart"/>
      <w:r w:rsidR="00DE2711">
        <w:rPr>
          <w:szCs w:val="22"/>
          <w:lang w:val="en-CA"/>
        </w:rPr>
        <w:t>coeff_sign_flag</w:t>
      </w:r>
      <w:proofErr w:type="spellEnd"/>
      <w:r w:rsidR="00DE2711" w:rsidRPr="00523034">
        <w:rPr>
          <w:szCs w:val="22"/>
          <w:lang w:val="en-CA"/>
        </w:rPr>
        <w:t xml:space="preserve"> can also lead to performance improvements.</w:t>
      </w:r>
    </w:p>
    <w:p w14:paraId="293B7FA4" w14:textId="77777777" w:rsidR="000B5FB1" w:rsidRDefault="000B5FB1" w:rsidP="000B5FB1">
      <w:pPr>
        <w:pStyle w:val="1"/>
        <w:ind w:left="432" w:hanging="432"/>
        <w:rPr>
          <w:lang w:val="en-CA" w:eastAsia="zh-CN"/>
        </w:rPr>
      </w:pPr>
      <w:bookmarkStart w:id="0" w:name="_Hlk180137198"/>
      <w:r>
        <w:rPr>
          <w:rFonts w:hint="eastAsia"/>
          <w:lang w:val="en-CA" w:eastAsia="zh-CN"/>
        </w:rPr>
        <w:lastRenderedPageBreak/>
        <w:t>P</w:t>
      </w:r>
      <w:r>
        <w:rPr>
          <w:lang w:val="en-CA" w:eastAsia="zh-CN"/>
        </w:rPr>
        <w:t>roposed method</w:t>
      </w:r>
      <w:bookmarkEnd w:id="0"/>
    </w:p>
    <w:p w14:paraId="6D6F6515" w14:textId="5D3E78A8" w:rsidR="00561F47" w:rsidRDefault="00561F47" w:rsidP="009234A5">
      <w:pPr>
        <w:rPr>
          <w:szCs w:val="22"/>
          <w:lang w:val="en-CA"/>
        </w:rPr>
      </w:pPr>
      <w:r w:rsidRPr="00561F47">
        <w:rPr>
          <w:szCs w:val="22"/>
          <w:lang w:val="en-CA"/>
        </w:rPr>
        <w:t xml:space="preserve">Proposal EE2-3.6b suggests prioritizing the coding of </w:t>
      </w:r>
      <w:proofErr w:type="spellStart"/>
      <w:r w:rsidRPr="00561F47">
        <w:rPr>
          <w:szCs w:val="22"/>
          <w:lang w:val="en-CA"/>
        </w:rPr>
        <w:t>sb_coded_flag</w:t>
      </w:r>
      <w:proofErr w:type="spellEnd"/>
      <w:r w:rsidRPr="00561F47">
        <w:rPr>
          <w:szCs w:val="22"/>
          <w:lang w:val="en-CA"/>
        </w:rPr>
        <w:t xml:space="preserve"> for all Coefficient Groups (CGs) within a Transform Unit (TU). This approach allows the number of </w:t>
      </w:r>
      <w:proofErr w:type="spellStart"/>
      <w:proofErr w:type="gramStart"/>
      <w:r w:rsidRPr="00561F47">
        <w:rPr>
          <w:szCs w:val="22"/>
          <w:lang w:val="en-CA"/>
        </w:rPr>
        <w:t>sig</w:t>
      </w:r>
      <w:proofErr w:type="gramEnd"/>
      <w:r w:rsidRPr="00561F47">
        <w:rPr>
          <w:szCs w:val="22"/>
          <w:lang w:val="en-CA"/>
        </w:rPr>
        <w:t>_coeff_flags</w:t>
      </w:r>
      <w:proofErr w:type="spellEnd"/>
      <w:r w:rsidRPr="00561F47">
        <w:rPr>
          <w:szCs w:val="22"/>
          <w:lang w:val="en-CA"/>
        </w:rPr>
        <w:t xml:space="preserve"> to be coded to be determined in advance, thereby enabling the reservation of the required context budget for them.</w:t>
      </w:r>
    </w:p>
    <w:p w14:paraId="465B840B" w14:textId="5F633861" w:rsidR="00B43E21" w:rsidRDefault="00B43E21" w:rsidP="00B43E21">
      <w:pPr>
        <w:rPr>
          <w:szCs w:val="22"/>
          <w:lang w:val="en-CA"/>
        </w:rPr>
      </w:pPr>
      <w:r w:rsidRPr="00B43E21">
        <w:rPr>
          <w:szCs w:val="22"/>
          <w:lang w:val="en-CA"/>
        </w:rPr>
        <w:t xml:space="preserve">In this contribution, we propose a method to increase the priority of </w:t>
      </w:r>
      <w:proofErr w:type="spellStart"/>
      <w:r w:rsidRPr="00B43E21">
        <w:rPr>
          <w:szCs w:val="22"/>
          <w:lang w:val="en-CA"/>
        </w:rPr>
        <w:t>coeff_sign_flag</w:t>
      </w:r>
      <w:proofErr w:type="spellEnd"/>
      <w:r w:rsidRPr="00B43E21">
        <w:rPr>
          <w:szCs w:val="22"/>
          <w:lang w:val="en-CA"/>
        </w:rPr>
        <w:t xml:space="preserve"> at the </w:t>
      </w:r>
      <w:r>
        <w:rPr>
          <w:szCs w:val="22"/>
          <w:lang w:val="en-CA"/>
        </w:rPr>
        <w:t>CG</w:t>
      </w:r>
      <w:r w:rsidRPr="00B43E21">
        <w:rPr>
          <w:szCs w:val="22"/>
          <w:lang w:val="en-CA"/>
        </w:rPr>
        <w:t xml:space="preserve"> level.</w:t>
      </w:r>
      <w:r>
        <w:rPr>
          <w:szCs w:val="22"/>
          <w:lang w:val="en-CA"/>
        </w:rPr>
        <w:t xml:space="preserve"> </w:t>
      </w:r>
      <w:r w:rsidRPr="00B43E21">
        <w:rPr>
          <w:szCs w:val="22"/>
          <w:lang w:val="en-CA"/>
        </w:rPr>
        <w:t xml:space="preserve">Specifically, instead of processing </w:t>
      </w:r>
      <w:proofErr w:type="spellStart"/>
      <w:r w:rsidRPr="00B43E21">
        <w:rPr>
          <w:szCs w:val="22"/>
          <w:lang w:val="en-CA"/>
        </w:rPr>
        <w:t>sig_coeff_flag</w:t>
      </w:r>
      <w:proofErr w:type="spellEnd"/>
      <w:r w:rsidRPr="00B43E21">
        <w:rPr>
          <w:szCs w:val="22"/>
          <w:lang w:val="en-CA"/>
        </w:rPr>
        <w:t xml:space="preserve">, </w:t>
      </w:r>
      <w:proofErr w:type="spellStart"/>
      <w:r w:rsidRPr="00B43E21">
        <w:rPr>
          <w:szCs w:val="22"/>
          <w:lang w:val="en-CA"/>
        </w:rPr>
        <w:t>coeff_sign_flag</w:t>
      </w:r>
      <w:proofErr w:type="spellEnd"/>
      <w:r w:rsidRPr="00B43E21">
        <w:rPr>
          <w:szCs w:val="22"/>
          <w:lang w:val="en-CA"/>
        </w:rPr>
        <w:t xml:space="preserve">, </w:t>
      </w:r>
      <w:proofErr w:type="spellStart"/>
      <w:r w:rsidRPr="00B43E21">
        <w:rPr>
          <w:szCs w:val="22"/>
          <w:lang w:val="en-CA"/>
        </w:rPr>
        <w:t>abs_level_gtx_</w:t>
      </w:r>
      <w:proofErr w:type="gramStart"/>
      <w:r w:rsidRPr="00B43E21">
        <w:rPr>
          <w:szCs w:val="22"/>
          <w:lang w:val="en-CA"/>
        </w:rPr>
        <w:t>flag</w:t>
      </w:r>
      <w:proofErr w:type="spellEnd"/>
      <w:r w:rsidRPr="00B43E21">
        <w:rPr>
          <w:szCs w:val="22"/>
          <w:lang w:val="en-CA"/>
        </w:rPr>
        <w:t>[</w:t>
      </w:r>
      <w:proofErr w:type="gramEnd"/>
      <w:r w:rsidRPr="00B43E21">
        <w:rPr>
          <w:szCs w:val="22"/>
          <w:lang w:val="en-CA"/>
        </w:rPr>
        <w:t xml:space="preserve">0], and </w:t>
      </w:r>
      <w:proofErr w:type="spellStart"/>
      <w:r w:rsidRPr="00B43E21">
        <w:rPr>
          <w:szCs w:val="22"/>
          <w:lang w:val="en-CA"/>
        </w:rPr>
        <w:t>par_level_flag</w:t>
      </w:r>
      <w:proofErr w:type="spellEnd"/>
      <w:r w:rsidRPr="00B43E21">
        <w:rPr>
          <w:szCs w:val="22"/>
          <w:lang w:val="en-CA"/>
        </w:rPr>
        <w:t xml:space="preserve"> together in a single pass, our proposal is that </w:t>
      </w:r>
      <w:proofErr w:type="spellStart"/>
      <w:r w:rsidRPr="00B43E21">
        <w:rPr>
          <w:szCs w:val="22"/>
          <w:lang w:val="en-CA"/>
        </w:rPr>
        <w:t>sig_coeff_flag</w:t>
      </w:r>
      <w:proofErr w:type="spellEnd"/>
      <w:r w:rsidRPr="00B43E21">
        <w:rPr>
          <w:szCs w:val="22"/>
          <w:lang w:val="en-CA"/>
        </w:rPr>
        <w:t xml:space="preserve"> and </w:t>
      </w:r>
      <w:proofErr w:type="spellStart"/>
      <w:r w:rsidRPr="00B43E21">
        <w:rPr>
          <w:szCs w:val="22"/>
          <w:lang w:val="en-CA"/>
        </w:rPr>
        <w:t>coeff_sign_flag</w:t>
      </w:r>
      <w:proofErr w:type="spellEnd"/>
      <w:r w:rsidRPr="00B43E21">
        <w:rPr>
          <w:szCs w:val="22"/>
          <w:lang w:val="en-CA"/>
        </w:rPr>
        <w:t xml:space="preserve"> be processed together in a dedicated, separate pass. As illustrated in the figure below, this approach effectively implements their higher priority by ensuring they are handled before other syntax elements within the CG.</w:t>
      </w:r>
    </w:p>
    <w:p w14:paraId="6F9D85D8" w14:textId="7215B8B2" w:rsidR="000B5FB1" w:rsidRDefault="00FD0BC5" w:rsidP="00B43E21">
      <w:pPr>
        <w:jc w:val="center"/>
        <w:rPr>
          <w:szCs w:val="22"/>
          <w:lang w:val="en-CA"/>
        </w:rPr>
      </w:pPr>
      <w:r>
        <w:rPr>
          <w:noProof/>
        </w:rPr>
        <w:drawing>
          <wp:inline distT="0" distB="0" distL="0" distR="0" wp14:anchorId="3DFD002E" wp14:editId="3642B774">
            <wp:extent cx="4817905" cy="2504661"/>
            <wp:effectExtent l="0" t="0" r="190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22568" cy="2507085"/>
                    </a:xfrm>
                    <a:prstGeom prst="rect">
                      <a:avLst/>
                    </a:prstGeom>
                    <a:noFill/>
                    <a:ln>
                      <a:noFill/>
                    </a:ln>
                  </pic:spPr>
                </pic:pic>
              </a:graphicData>
            </a:graphic>
          </wp:inline>
        </w:drawing>
      </w:r>
    </w:p>
    <w:p w14:paraId="3951DF2F" w14:textId="35FC7384" w:rsidR="00FD0BC5" w:rsidRDefault="00FD0BC5" w:rsidP="00FD0BC5">
      <w:pPr>
        <w:jc w:val="center"/>
        <w:rPr>
          <w:szCs w:val="22"/>
          <w:lang w:val="en-CA" w:eastAsia="zh-CN"/>
        </w:rPr>
      </w:pPr>
      <w:r>
        <w:rPr>
          <w:rFonts w:hint="eastAsia"/>
          <w:szCs w:val="22"/>
          <w:lang w:val="en-CA" w:eastAsia="zh-CN"/>
        </w:rPr>
        <w:t>F</w:t>
      </w:r>
      <w:r>
        <w:rPr>
          <w:szCs w:val="22"/>
          <w:lang w:val="en-CA" w:eastAsia="zh-CN"/>
        </w:rPr>
        <w:t xml:space="preserve">ig. 1. </w:t>
      </w:r>
      <w:r w:rsidRPr="00FD0BC5">
        <w:rPr>
          <w:szCs w:val="22"/>
          <w:lang w:val="en-CA" w:eastAsia="zh-CN"/>
        </w:rPr>
        <w:t>TSRC encoding process</w:t>
      </w:r>
      <w:r>
        <w:rPr>
          <w:szCs w:val="22"/>
          <w:lang w:val="en-CA" w:eastAsia="zh-CN"/>
        </w:rPr>
        <w:t xml:space="preserve"> in ECM 17.0</w:t>
      </w:r>
    </w:p>
    <w:p w14:paraId="3A43A123" w14:textId="30E86054" w:rsidR="00FD0BC5" w:rsidRDefault="00FD0BC5" w:rsidP="00FD0BC5">
      <w:pPr>
        <w:jc w:val="center"/>
        <w:rPr>
          <w:szCs w:val="22"/>
          <w:lang w:val="en-CA"/>
        </w:rPr>
      </w:pPr>
      <w:r w:rsidRPr="00225839">
        <w:rPr>
          <w:rFonts w:eastAsia="楷体_GB2312"/>
          <w:noProof/>
          <w:lang w:eastAsia="zh-CN"/>
        </w:rPr>
        <w:drawing>
          <wp:inline distT="0" distB="0" distL="0" distR="0" wp14:anchorId="78AFBF4C" wp14:editId="5E464E0E">
            <wp:extent cx="4783690" cy="2663687"/>
            <wp:effectExtent l="0" t="0" r="0" b="381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20344" cy="2684097"/>
                    </a:xfrm>
                    <a:prstGeom prst="rect">
                      <a:avLst/>
                    </a:prstGeom>
                    <a:noFill/>
                  </pic:spPr>
                </pic:pic>
              </a:graphicData>
            </a:graphic>
          </wp:inline>
        </w:drawing>
      </w:r>
    </w:p>
    <w:p w14:paraId="5DC43408" w14:textId="6239C62D" w:rsidR="00FD0BC5" w:rsidRDefault="00FD0BC5" w:rsidP="00FD0BC5">
      <w:pPr>
        <w:jc w:val="center"/>
        <w:rPr>
          <w:szCs w:val="22"/>
          <w:lang w:val="en-CA" w:eastAsia="zh-CN"/>
        </w:rPr>
      </w:pPr>
      <w:r>
        <w:rPr>
          <w:rFonts w:hint="eastAsia"/>
          <w:szCs w:val="22"/>
          <w:lang w:val="en-CA" w:eastAsia="zh-CN"/>
        </w:rPr>
        <w:t>F</w:t>
      </w:r>
      <w:r>
        <w:rPr>
          <w:szCs w:val="22"/>
          <w:lang w:val="en-CA" w:eastAsia="zh-CN"/>
        </w:rPr>
        <w:t xml:space="preserve">ig. 2. </w:t>
      </w:r>
      <w:r w:rsidRPr="00FD0BC5">
        <w:rPr>
          <w:szCs w:val="22"/>
          <w:lang w:val="en-CA" w:eastAsia="zh-CN"/>
        </w:rPr>
        <w:t>proposed TSRC encoding process</w:t>
      </w:r>
    </w:p>
    <w:p w14:paraId="6052CFB3" w14:textId="77777777" w:rsidR="00EC57A7" w:rsidRDefault="00EC57A7" w:rsidP="00EC57A7">
      <w:pPr>
        <w:pStyle w:val="1"/>
        <w:rPr>
          <w:lang w:val="en-CA" w:eastAsia="zh-CN"/>
        </w:rPr>
      </w:pPr>
      <w:r>
        <w:rPr>
          <w:lang w:val="en-CA" w:eastAsia="zh-CN"/>
        </w:rPr>
        <w:t>Simulation results</w:t>
      </w:r>
    </w:p>
    <w:p w14:paraId="5D4C440F" w14:textId="70D4987C" w:rsidR="000B5FB1" w:rsidRDefault="00EC57A7" w:rsidP="009234A5">
      <w:pPr>
        <w:rPr>
          <w:szCs w:val="22"/>
          <w:lang w:val="en-CA"/>
        </w:rPr>
      </w:pPr>
      <w:r>
        <w:rPr>
          <w:szCs w:val="22"/>
          <w:lang w:val="en-CA"/>
        </w:rPr>
        <w:t>The proposed method is implemented on top of the ECM-17.0 software [</w:t>
      </w:r>
      <w:r w:rsidR="001D0E48">
        <w:rPr>
          <w:szCs w:val="22"/>
          <w:lang w:val="en-CA"/>
        </w:rPr>
        <w:t>2</w:t>
      </w:r>
      <w:r>
        <w:rPr>
          <w:szCs w:val="22"/>
          <w:lang w:val="en-CA"/>
        </w:rPr>
        <w:t>] and tested based on the common test condition</w:t>
      </w:r>
      <w:r w:rsidR="001D0E48">
        <w:rPr>
          <w:szCs w:val="22"/>
          <w:lang w:val="en-CA"/>
        </w:rPr>
        <w:t xml:space="preserve"> [3]</w:t>
      </w:r>
      <w:r>
        <w:rPr>
          <w:szCs w:val="22"/>
          <w:lang w:val="en-CA"/>
        </w:rPr>
        <w:t>. The test results are summarized below.</w:t>
      </w:r>
    </w:p>
    <w:p w14:paraId="45D218F0" w14:textId="722D35CA" w:rsidR="00EC57A7" w:rsidRDefault="00514EC3" w:rsidP="00EC57A7">
      <w:pPr>
        <w:pStyle w:val="ad"/>
        <w:keepNext/>
        <w:jc w:val="center"/>
      </w:pPr>
      <w:r>
        <w:rPr>
          <w:lang w:val="en-CA" w:eastAsia="zh-CN"/>
        </w:rPr>
        <w:t>Table 1: Test Result of the proposed method</w:t>
      </w:r>
      <w:r>
        <w:rPr>
          <w:lang w:val="fr-FR" w:eastAsia="zh-CN"/>
        </w:rPr>
        <w:t xml:space="preserve"> + EE2-3.6b</w:t>
      </w:r>
      <w:r>
        <w:rPr>
          <w:lang w:val="en-CA" w:eastAsia="zh-CN"/>
        </w:rPr>
        <w:t xml:space="preserve"> over ECM-17.0</w:t>
      </w:r>
      <w:r>
        <w:rPr>
          <w:lang w:val="en-CA" w:eastAsia="ko-KR"/>
        </w:rPr>
        <w:t>.</w:t>
      </w:r>
    </w:p>
    <w:tbl>
      <w:tblPr>
        <w:tblW w:w="8481" w:type="dxa"/>
        <w:tblLook w:val="04A0" w:firstRow="1" w:lastRow="0" w:firstColumn="1" w:lastColumn="0" w:noHBand="0" w:noVBand="1"/>
      </w:tblPr>
      <w:tblGrid>
        <w:gridCol w:w="1060"/>
        <w:gridCol w:w="1017"/>
        <w:gridCol w:w="1017"/>
        <w:gridCol w:w="1017"/>
        <w:gridCol w:w="832"/>
        <w:gridCol w:w="832"/>
        <w:gridCol w:w="1346"/>
        <w:gridCol w:w="1360"/>
      </w:tblGrid>
      <w:tr w:rsidR="00EC57A7" w:rsidRPr="00EC57A7" w14:paraId="6F66636A" w14:textId="77777777" w:rsidTr="00EC57A7">
        <w:trPr>
          <w:trHeight w:val="255"/>
        </w:trPr>
        <w:tc>
          <w:tcPr>
            <w:tcW w:w="1060" w:type="dxa"/>
            <w:tcBorders>
              <w:top w:val="nil"/>
              <w:left w:val="nil"/>
              <w:bottom w:val="nil"/>
              <w:right w:val="nil"/>
            </w:tcBorders>
            <w:shd w:val="clear" w:color="auto" w:fill="auto"/>
            <w:noWrap/>
            <w:vAlign w:val="center"/>
            <w:hideMark/>
          </w:tcPr>
          <w:p w14:paraId="4062C18C"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宋体" w:eastAsia="宋体" w:hAnsi="宋体" w:cs="宋体"/>
                <w:sz w:val="20"/>
                <w:szCs w:val="24"/>
                <w:lang w:eastAsia="zh-CN"/>
              </w:rPr>
            </w:pPr>
          </w:p>
        </w:tc>
        <w:tc>
          <w:tcPr>
            <w:tcW w:w="7421"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7A7E76F"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EC57A7">
              <w:rPr>
                <w:rFonts w:ascii="Arial" w:eastAsia="宋体" w:hAnsi="Arial" w:cs="Arial"/>
                <w:b/>
                <w:bCs/>
                <w:color w:val="000000"/>
                <w:sz w:val="18"/>
                <w:szCs w:val="18"/>
                <w:lang w:eastAsia="zh-CN"/>
              </w:rPr>
              <w:t xml:space="preserve">All Intra Main 10 </w:t>
            </w:r>
          </w:p>
        </w:tc>
      </w:tr>
      <w:tr w:rsidR="00EC57A7" w:rsidRPr="00EC57A7" w14:paraId="5E7C6548" w14:textId="77777777" w:rsidTr="00EC57A7">
        <w:trPr>
          <w:trHeight w:val="255"/>
        </w:trPr>
        <w:tc>
          <w:tcPr>
            <w:tcW w:w="1060" w:type="dxa"/>
            <w:tcBorders>
              <w:top w:val="nil"/>
              <w:left w:val="nil"/>
              <w:bottom w:val="nil"/>
              <w:right w:val="nil"/>
            </w:tcBorders>
            <w:shd w:val="clear" w:color="auto" w:fill="auto"/>
            <w:noWrap/>
            <w:vAlign w:val="center"/>
            <w:hideMark/>
          </w:tcPr>
          <w:p w14:paraId="4600CE65"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7421" w:type="dxa"/>
            <w:gridSpan w:val="7"/>
            <w:tcBorders>
              <w:top w:val="nil"/>
              <w:left w:val="single" w:sz="8" w:space="0" w:color="auto"/>
              <w:bottom w:val="nil"/>
              <w:right w:val="single" w:sz="8" w:space="0" w:color="auto"/>
            </w:tcBorders>
            <w:shd w:val="clear" w:color="auto" w:fill="auto"/>
            <w:noWrap/>
            <w:vAlign w:val="center"/>
            <w:hideMark/>
          </w:tcPr>
          <w:p w14:paraId="27FAE052"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EC57A7">
              <w:rPr>
                <w:rFonts w:ascii="Arial" w:eastAsia="宋体" w:hAnsi="Arial" w:cs="Arial"/>
                <w:b/>
                <w:bCs/>
                <w:color w:val="000000"/>
                <w:sz w:val="18"/>
                <w:szCs w:val="18"/>
                <w:lang w:eastAsia="zh-CN"/>
              </w:rPr>
              <w:t>Over ECM-17.0</w:t>
            </w:r>
          </w:p>
        </w:tc>
      </w:tr>
      <w:tr w:rsidR="00EC57A7" w:rsidRPr="00EC57A7" w14:paraId="3E02B5C0" w14:textId="77777777" w:rsidTr="00EC57A7">
        <w:trPr>
          <w:trHeight w:val="255"/>
        </w:trPr>
        <w:tc>
          <w:tcPr>
            <w:tcW w:w="1060" w:type="dxa"/>
            <w:tcBorders>
              <w:top w:val="nil"/>
              <w:left w:val="nil"/>
              <w:bottom w:val="nil"/>
              <w:right w:val="nil"/>
            </w:tcBorders>
            <w:shd w:val="clear" w:color="auto" w:fill="auto"/>
            <w:noWrap/>
            <w:vAlign w:val="center"/>
            <w:hideMark/>
          </w:tcPr>
          <w:p w14:paraId="65465D89"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017" w:type="dxa"/>
            <w:tcBorders>
              <w:top w:val="nil"/>
              <w:left w:val="single" w:sz="8" w:space="0" w:color="auto"/>
              <w:bottom w:val="single" w:sz="8" w:space="0" w:color="auto"/>
              <w:right w:val="nil"/>
            </w:tcBorders>
            <w:shd w:val="clear" w:color="auto" w:fill="auto"/>
            <w:noWrap/>
            <w:vAlign w:val="center"/>
            <w:hideMark/>
          </w:tcPr>
          <w:p w14:paraId="577F3D90"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Y</w:t>
            </w:r>
          </w:p>
        </w:tc>
        <w:tc>
          <w:tcPr>
            <w:tcW w:w="1017" w:type="dxa"/>
            <w:tcBorders>
              <w:top w:val="nil"/>
              <w:left w:val="nil"/>
              <w:bottom w:val="single" w:sz="8" w:space="0" w:color="auto"/>
              <w:right w:val="nil"/>
            </w:tcBorders>
            <w:shd w:val="clear" w:color="auto" w:fill="auto"/>
            <w:noWrap/>
            <w:vAlign w:val="center"/>
            <w:hideMark/>
          </w:tcPr>
          <w:p w14:paraId="4769B3A0"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U</w:t>
            </w:r>
          </w:p>
        </w:tc>
        <w:tc>
          <w:tcPr>
            <w:tcW w:w="1017" w:type="dxa"/>
            <w:tcBorders>
              <w:top w:val="nil"/>
              <w:left w:val="nil"/>
              <w:bottom w:val="single" w:sz="8" w:space="0" w:color="auto"/>
              <w:right w:val="single" w:sz="4" w:space="0" w:color="auto"/>
            </w:tcBorders>
            <w:shd w:val="clear" w:color="auto" w:fill="auto"/>
            <w:noWrap/>
            <w:vAlign w:val="center"/>
            <w:hideMark/>
          </w:tcPr>
          <w:p w14:paraId="3D1CD3B2"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V</w:t>
            </w:r>
          </w:p>
        </w:tc>
        <w:tc>
          <w:tcPr>
            <w:tcW w:w="832" w:type="dxa"/>
            <w:tcBorders>
              <w:top w:val="nil"/>
              <w:left w:val="nil"/>
              <w:bottom w:val="single" w:sz="8" w:space="0" w:color="auto"/>
              <w:right w:val="nil"/>
            </w:tcBorders>
            <w:shd w:val="clear" w:color="auto" w:fill="auto"/>
            <w:noWrap/>
            <w:vAlign w:val="center"/>
            <w:hideMark/>
          </w:tcPr>
          <w:p w14:paraId="15F233F3"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EC57A7">
              <w:rPr>
                <w:rFonts w:ascii="Arial" w:eastAsia="宋体" w:hAnsi="Arial" w:cs="Arial"/>
                <w:color w:val="000000"/>
                <w:sz w:val="18"/>
                <w:szCs w:val="18"/>
                <w:lang w:eastAsia="zh-CN"/>
              </w:rPr>
              <w:t>EncT</w:t>
            </w:r>
            <w:proofErr w:type="spellEnd"/>
          </w:p>
        </w:tc>
        <w:tc>
          <w:tcPr>
            <w:tcW w:w="832" w:type="dxa"/>
            <w:tcBorders>
              <w:top w:val="nil"/>
              <w:left w:val="nil"/>
              <w:bottom w:val="single" w:sz="8" w:space="0" w:color="auto"/>
              <w:right w:val="nil"/>
            </w:tcBorders>
            <w:shd w:val="clear" w:color="auto" w:fill="auto"/>
            <w:noWrap/>
            <w:vAlign w:val="center"/>
            <w:hideMark/>
          </w:tcPr>
          <w:p w14:paraId="07BFB46B"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EC57A7">
              <w:rPr>
                <w:rFonts w:ascii="Arial" w:eastAsia="宋体" w:hAnsi="Arial" w:cs="Arial"/>
                <w:color w:val="000000"/>
                <w:sz w:val="18"/>
                <w:szCs w:val="18"/>
                <w:lang w:eastAsia="zh-CN"/>
              </w:rPr>
              <w:t>DecT</w:t>
            </w:r>
            <w:proofErr w:type="spellEnd"/>
          </w:p>
        </w:tc>
        <w:tc>
          <w:tcPr>
            <w:tcW w:w="1346" w:type="dxa"/>
            <w:tcBorders>
              <w:top w:val="nil"/>
              <w:left w:val="single" w:sz="4" w:space="0" w:color="auto"/>
              <w:bottom w:val="single" w:sz="8" w:space="0" w:color="auto"/>
              <w:right w:val="nil"/>
            </w:tcBorders>
            <w:shd w:val="clear" w:color="auto" w:fill="auto"/>
            <w:noWrap/>
            <w:vAlign w:val="center"/>
            <w:hideMark/>
          </w:tcPr>
          <w:p w14:paraId="607916C1"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EC57A7">
              <w:rPr>
                <w:rFonts w:ascii="Arial" w:eastAsia="宋体" w:hAnsi="Arial" w:cs="Arial"/>
                <w:color w:val="000000"/>
                <w:sz w:val="18"/>
                <w:szCs w:val="18"/>
                <w:lang w:eastAsia="zh-CN"/>
              </w:rPr>
              <w:t>EncVmPeak</w:t>
            </w:r>
            <w:proofErr w:type="spellEnd"/>
          </w:p>
        </w:tc>
        <w:tc>
          <w:tcPr>
            <w:tcW w:w="1360" w:type="dxa"/>
            <w:tcBorders>
              <w:top w:val="nil"/>
              <w:left w:val="single" w:sz="4" w:space="0" w:color="auto"/>
              <w:bottom w:val="single" w:sz="8" w:space="0" w:color="auto"/>
              <w:right w:val="single" w:sz="8" w:space="0" w:color="auto"/>
            </w:tcBorders>
            <w:shd w:val="clear" w:color="auto" w:fill="auto"/>
            <w:noWrap/>
            <w:vAlign w:val="center"/>
            <w:hideMark/>
          </w:tcPr>
          <w:p w14:paraId="206AD88F"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EC57A7">
              <w:rPr>
                <w:rFonts w:ascii="Arial" w:eastAsia="宋体" w:hAnsi="Arial" w:cs="Arial"/>
                <w:color w:val="000000"/>
                <w:sz w:val="18"/>
                <w:szCs w:val="18"/>
                <w:lang w:eastAsia="zh-CN"/>
              </w:rPr>
              <w:t>DecVmPeak</w:t>
            </w:r>
            <w:proofErr w:type="spellEnd"/>
          </w:p>
        </w:tc>
      </w:tr>
      <w:tr w:rsidR="00EC57A7" w:rsidRPr="00EC57A7" w14:paraId="2D4A226E" w14:textId="77777777" w:rsidTr="00EC57A7">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380AC5D3"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Class F</w:t>
            </w:r>
          </w:p>
        </w:tc>
        <w:tc>
          <w:tcPr>
            <w:tcW w:w="1017" w:type="dxa"/>
            <w:tcBorders>
              <w:top w:val="nil"/>
              <w:left w:val="nil"/>
              <w:bottom w:val="nil"/>
              <w:right w:val="nil"/>
            </w:tcBorders>
            <w:shd w:val="clear" w:color="auto" w:fill="auto"/>
            <w:noWrap/>
            <w:vAlign w:val="center"/>
            <w:hideMark/>
          </w:tcPr>
          <w:p w14:paraId="1053F557" w14:textId="36F5D2B3"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-0.1</w:t>
            </w:r>
            <w:r w:rsidR="00514EC3">
              <w:rPr>
                <w:rFonts w:ascii="Arial" w:eastAsia="宋体" w:hAnsi="Arial" w:cs="Arial"/>
                <w:color w:val="000000"/>
                <w:sz w:val="18"/>
                <w:szCs w:val="18"/>
                <w:lang w:eastAsia="zh-CN"/>
              </w:rPr>
              <w:t>2</w:t>
            </w:r>
            <w:r w:rsidRPr="00EC57A7">
              <w:rPr>
                <w:rFonts w:ascii="Arial" w:eastAsia="宋体" w:hAnsi="Arial" w:cs="Arial"/>
                <w:color w:val="000000"/>
                <w:sz w:val="18"/>
                <w:szCs w:val="18"/>
                <w:lang w:eastAsia="zh-CN"/>
              </w:rPr>
              <w:t>%</w:t>
            </w:r>
          </w:p>
        </w:tc>
        <w:tc>
          <w:tcPr>
            <w:tcW w:w="1017" w:type="dxa"/>
            <w:tcBorders>
              <w:top w:val="nil"/>
              <w:left w:val="nil"/>
              <w:bottom w:val="nil"/>
              <w:right w:val="nil"/>
            </w:tcBorders>
            <w:shd w:val="clear" w:color="auto" w:fill="auto"/>
            <w:noWrap/>
            <w:vAlign w:val="center"/>
            <w:hideMark/>
          </w:tcPr>
          <w:p w14:paraId="7FF7BB3B" w14:textId="2929427E"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-0.0</w:t>
            </w:r>
            <w:r w:rsidR="00514EC3">
              <w:rPr>
                <w:rFonts w:ascii="Arial" w:eastAsia="宋体" w:hAnsi="Arial" w:cs="Arial"/>
                <w:color w:val="000000"/>
                <w:sz w:val="18"/>
                <w:szCs w:val="18"/>
                <w:lang w:eastAsia="zh-CN"/>
              </w:rPr>
              <w:t>1</w:t>
            </w:r>
            <w:r w:rsidRPr="00EC57A7">
              <w:rPr>
                <w:rFonts w:ascii="Arial" w:eastAsia="宋体" w:hAnsi="Arial" w:cs="Arial"/>
                <w:color w:val="000000"/>
                <w:sz w:val="18"/>
                <w:szCs w:val="18"/>
                <w:lang w:eastAsia="zh-CN"/>
              </w:rPr>
              <w:t>%</w:t>
            </w:r>
          </w:p>
        </w:tc>
        <w:tc>
          <w:tcPr>
            <w:tcW w:w="1017" w:type="dxa"/>
            <w:tcBorders>
              <w:top w:val="nil"/>
              <w:left w:val="nil"/>
              <w:bottom w:val="nil"/>
              <w:right w:val="single" w:sz="4" w:space="0" w:color="auto"/>
            </w:tcBorders>
            <w:shd w:val="clear" w:color="auto" w:fill="auto"/>
            <w:noWrap/>
            <w:vAlign w:val="center"/>
            <w:hideMark/>
          </w:tcPr>
          <w:p w14:paraId="5DD6C237" w14:textId="0284D536"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-0.</w:t>
            </w:r>
            <w:r w:rsidR="00514EC3">
              <w:rPr>
                <w:rFonts w:ascii="Arial" w:eastAsia="宋体" w:hAnsi="Arial" w:cs="Arial"/>
                <w:color w:val="000000"/>
                <w:sz w:val="18"/>
                <w:szCs w:val="18"/>
                <w:lang w:eastAsia="zh-CN"/>
              </w:rPr>
              <w:t>10</w:t>
            </w:r>
            <w:r w:rsidRPr="00EC57A7">
              <w:rPr>
                <w:rFonts w:ascii="Arial" w:eastAsia="宋体" w:hAnsi="Arial" w:cs="Arial"/>
                <w:color w:val="000000"/>
                <w:sz w:val="18"/>
                <w:szCs w:val="18"/>
                <w:lang w:eastAsia="zh-CN"/>
              </w:rPr>
              <w:t>%</w:t>
            </w:r>
          </w:p>
        </w:tc>
        <w:tc>
          <w:tcPr>
            <w:tcW w:w="832" w:type="dxa"/>
            <w:tcBorders>
              <w:top w:val="nil"/>
              <w:left w:val="nil"/>
              <w:bottom w:val="nil"/>
              <w:right w:val="nil"/>
            </w:tcBorders>
            <w:shd w:val="clear" w:color="auto" w:fill="auto"/>
            <w:noWrap/>
            <w:vAlign w:val="center"/>
            <w:hideMark/>
          </w:tcPr>
          <w:p w14:paraId="12E59485"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#DIV/0!</w:t>
            </w:r>
          </w:p>
        </w:tc>
        <w:tc>
          <w:tcPr>
            <w:tcW w:w="832" w:type="dxa"/>
            <w:tcBorders>
              <w:top w:val="nil"/>
              <w:left w:val="nil"/>
              <w:bottom w:val="nil"/>
              <w:right w:val="nil"/>
            </w:tcBorders>
            <w:shd w:val="clear" w:color="auto" w:fill="auto"/>
            <w:noWrap/>
            <w:vAlign w:val="center"/>
            <w:hideMark/>
          </w:tcPr>
          <w:p w14:paraId="0C7F724F"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#DIV/0!</w:t>
            </w:r>
          </w:p>
        </w:tc>
        <w:tc>
          <w:tcPr>
            <w:tcW w:w="1346" w:type="dxa"/>
            <w:tcBorders>
              <w:top w:val="nil"/>
              <w:left w:val="single" w:sz="4" w:space="0" w:color="auto"/>
              <w:bottom w:val="nil"/>
              <w:right w:val="nil"/>
            </w:tcBorders>
            <w:shd w:val="clear" w:color="auto" w:fill="auto"/>
            <w:noWrap/>
            <w:vAlign w:val="center"/>
            <w:hideMark/>
          </w:tcPr>
          <w:p w14:paraId="1050F8D3"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#DIV/0!</w:t>
            </w:r>
          </w:p>
        </w:tc>
        <w:tc>
          <w:tcPr>
            <w:tcW w:w="1360" w:type="dxa"/>
            <w:tcBorders>
              <w:top w:val="nil"/>
              <w:left w:val="nil"/>
              <w:bottom w:val="nil"/>
              <w:right w:val="single" w:sz="8" w:space="0" w:color="auto"/>
            </w:tcBorders>
            <w:shd w:val="clear" w:color="auto" w:fill="auto"/>
            <w:noWrap/>
            <w:vAlign w:val="center"/>
            <w:hideMark/>
          </w:tcPr>
          <w:p w14:paraId="0D666C01"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#DIV/0!</w:t>
            </w:r>
          </w:p>
        </w:tc>
      </w:tr>
      <w:tr w:rsidR="00EC57A7" w:rsidRPr="00EC57A7" w14:paraId="00FDD688" w14:textId="77777777" w:rsidTr="00EC57A7">
        <w:trPr>
          <w:trHeight w:val="255"/>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1017950E"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Class TGM</w:t>
            </w:r>
          </w:p>
        </w:tc>
        <w:tc>
          <w:tcPr>
            <w:tcW w:w="1017" w:type="dxa"/>
            <w:tcBorders>
              <w:top w:val="nil"/>
              <w:left w:val="nil"/>
              <w:bottom w:val="single" w:sz="8" w:space="0" w:color="auto"/>
              <w:right w:val="nil"/>
            </w:tcBorders>
            <w:shd w:val="clear" w:color="auto" w:fill="auto"/>
            <w:noWrap/>
            <w:vAlign w:val="center"/>
            <w:hideMark/>
          </w:tcPr>
          <w:p w14:paraId="73BDEB50" w14:textId="00858CCA"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-0.2</w:t>
            </w:r>
            <w:r w:rsidR="00514EC3">
              <w:rPr>
                <w:rFonts w:ascii="Arial" w:eastAsia="宋体" w:hAnsi="Arial" w:cs="Arial"/>
                <w:color w:val="000000"/>
                <w:sz w:val="18"/>
                <w:szCs w:val="18"/>
                <w:lang w:eastAsia="zh-CN"/>
              </w:rPr>
              <w:t>3</w:t>
            </w:r>
            <w:r w:rsidRPr="00EC57A7">
              <w:rPr>
                <w:rFonts w:ascii="Arial" w:eastAsia="宋体" w:hAnsi="Arial" w:cs="Arial"/>
                <w:color w:val="000000"/>
                <w:sz w:val="18"/>
                <w:szCs w:val="18"/>
                <w:lang w:eastAsia="zh-CN"/>
              </w:rPr>
              <w:t>%</w:t>
            </w:r>
          </w:p>
        </w:tc>
        <w:tc>
          <w:tcPr>
            <w:tcW w:w="1017" w:type="dxa"/>
            <w:tcBorders>
              <w:top w:val="nil"/>
              <w:left w:val="nil"/>
              <w:bottom w:val="single" w:sz="8" w:space="0" w:color="auto"/>
              <w:right w:val="nil"/>
            </w:tcBorders>
            <w:shd w:val="clear" w:color="auto" w:fill="auto"/>
            <w:noWrap/>
            <w:vAlign w:val="center"/>
            <w:hideMark/>
          </w:tcPr>
          <w:p w14:paraId="57F942DD" w14:textId="4F41914A"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-0.</w:t>
            </w:r>
            <w:r w:rsidR="00514EC3">
              <w:rPr>
                <w:rFonts w:ascii="Arial" w:eastAsia="宋体" w:hAnsi="Arial" w:cs="Arial"/>
                <w:color w:val="000000"/>
                <w:sz w:val="18"/>
                <w:szCs w:val="18"/>
                <w:lang w:eastAsia="zh-CN"/>
              </w:rPr>
              <w:t>29</w:t>
            </w:r>
            <w:r w:rsidRPr="00EC57A7">
              <w:rPr>
                <w:rFonts w:ascii="Arial" w:eastAsia="宋体" w:hAnsi="Arial" w:cs="Arial"/>
                <w:color w:val="000000"/>
                <w:sz w:val="18"/>
                <w:szCs w:val="18"/>
                <w:lang w:eastAsia="zh-CN"/>
              </w:rPr>
              <w:t>%</w:t>
            </w:r>
          </w:p>
        </w:tc>
        <w:tc>
          <w:tcPr>
            <w:tcW w:w="1017" w:type="dxa"/>
            <w:tcBorders>
              <w:top w:val="nil"/>
              <w:left w:val="nil"/>
              <w:bottom w:val="single" w:sz="8" w:space="0" w:color="auto"/>
              <w:right w:val="single" w:sz="4" w:space="0" w:color="auto"/>
            </w:tcBorders>
            <w:shd w:val="clear" w:color="auto" w:fill="auto"/>
            <w:noWrap/>
            <w:vAlign w:val="center"/>
            <w:hideMark/>
          </w:tcPr>
          <w:p w14:paraId="1086FA38" w14:textId="7B74109A"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-0.</w:t>
            </w:r>
            <w:r w:rsidR="00514EC3">
              <w:rPr>
                <w:rFonts w:ascii="Arial" w:eastAsia="宋体" w:hAnsi="Arial" w:cs="Arial"/>
                <w:color w:val="000000"/>
                <w:sz w:val="18"/>
                <w:szCs w:val="18"/>
                <w:lang w:eastAsia="zh-CN"/>
              </w:rPr>
              <w:t>28</w:t>
            </w:r>
            <w:r w:rsidRPr="00EC57A7">
              <w:rPr>
                <w:rFonts w:ascii="Arial" w:eastAsia="宋体" w:hAnsi="Arial" w:cs="Arial"/>
                <w:color w:val="000000"/>
                <w:sz w:val="18"/>
                <w:szCs w:val="18"/>
                <w:lang w:eastAsia="zh-CN"/>
              </w:rPr>
              <w:t>%</w:t>
            </w:r>
          </w:p>
        </w:tc>
        <w:tc>
          <w:tcPr>
            <w:tcW w:w="832" w:type="dxa"/>
            <w:tcBorders>
              <w:top w:val="nil"/>
              <w:left w:val="nil"/>
              <w:bottom w:val="single" w:sz="8" w:space="0" w:color="auto"/>
              <w:right w:val="nil"/>
            </w:tcBorders>
            <w:shd w:val="clear" w:color="auto" w:fill="auto"/>
            <w:noWrap/>
            <w:vAlign w:val="center"/>
            <w:hideMark/>
          </w:tcPr>
          <w:p w14:paraId="2539F955"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#DIV/0!</w:t>
            </w:r>
          </w:p>
        </w:tc>
        <w:tc>
          <w:tcPr>
            <w:tcW w:w="832" w:type="dxa"/>
            <w:tcBorders>
              <w:top w:val="nil"/>
              <w:left w:val="nil"/>
              <w:bottom w:val="single" w:sz="8" w:space="0" w:color="auto"/>
              <w:right w:val="nil"/>
            </w:tcBorders>
            <w:shd w:val="clear" w:color="auto" w:fill="auto"/>
            <w:noWrap/>
            <w:vAlign w:val="center"/>
            <w:hideMark/>
          </w:tcPr>
          <w:p w14:paraId="3C1EF431"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#DIV/0!</w:t>
            </w:r>
          </w:p>
        </w:tc>
        <w:tc>
          <w:tcPr>
            <w:tcW w:w="1346" w:type="dxa"/>
            <w:tcBorders>
              <w:top w:val="nil"/>
              <w:left w:val="single" w:sz="4" w:space="0" w:color="auto"/>
              <w:bottom w:val="single" w:sz="8" w:space="0" w:color="auto"/>
              <w:right w:val="nil"/>
            </w:tcBorders>
            <w:shd w:val="clear" w:color="auto" w:fill="auto"/>
            <w:noWrap/>
            <w:vAlign w:val="center"/>
            <w:hideMark/>
          </w:tcPr>
          <w:p w14:paraId="0A8ACC21"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#DIV/0!</w:t>
            </w:r>
          </w:p>
        </w:tc>
        <w:tc>
          <w:tcPr>
            <w:tcW w:w="1360" w:type="dxa"/>
            <w:tcBorders>
              <w:top w:val="nil"/>
              <w:left w:val="nil"/>
              <w:bottom w:val="single" w:sz="8" w:space="0" w:color="auto"/>
              <w:right w:val="single" w:sz="8" w:space="0" w:color="auto"/>
            </w:tcBorders>
            <w:shd w:val="clear" w:color="auto" w:fill="auto"/>
            <w:noWrap/>
            <w:vAlign w:val="center"/>
            <w:hideMark/>
          </w:tcPr>
          <w:p w14:paraId="09C5B6AE" w14:textId="77777777" w:rsidR="00EC57A7" w:rsidRPr="00EC57A7" w:rsidRDefault="00EC57A7" w:rsidP="00EC57A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#DIV/0!</w:t>
            </w:r>
          </w:p>
        </w:tc>
      </w:tr>
    </w:tbl>
    <w:p w14:paraId="6DA10440" w14:textId="29ECF184" w:rsidR="00514EC3" w:rsidRDefault="00514EC3" w:rsidP="00514EC3">
      <w:pPr>
        <w:pStyle w:val="ad"/>
        <w:keepNext/>
        <w:jc w:val="center"/>
      </w:pPr>
      <w:r>
        <w:rPr>
          <w:lang w:val="en-CA" w:eastAsia="zh-CN"/>
        </w:rPr>
        <w:t>Table 2: Test Result of the proposed method</w:t>
      </w:r>
      <w:r>
        <w:rPr>
          <w:lang w:val="fr-FR" w:eastAsia="zh-CN"/>
        </w:rPr>
        <w:t xml:space="preserve"> + EE2-3.6b</w:t>
      </w:r>
      <w:r>
        <w:rPr>
          <w:lang w:val="en-CA" w:eastAsia="zh-CN"/>
        </w:rPr>
        <w:t xml:space="preserve"> over </w:t>
      </w:r>
      <w:r>
        <w:rPr>
          <w:lang w:val="fr-FR" w:eastAsia="zh-CN"/>
        </w:rPr>
        <w:t>EE2-3.6b</w:t>
      </w:r>
      <w:r>
        <w:rPr>
          <w:lang w:val="en-CA" w:eastAsia="ko-KR"/>
        </w:rPr>
        <w:t>.</w:t>
      </w:r>
    </w:p>
    <w:tbl>
      <w:tblPr>
        <w:tblW w:w="8481" w:type="dxa"/>
        <w:tblLook w:val="04A0" w:firstRow="1" w:lastRow="0" w:firstColumn="1" w:lastColumn="0" w:noHBand="0" w:noVBand="1"/>
      </w:tblPr>
      <w:tblGrid>
        <w:gridCol w:w="1060"/>
        <w:gridCol w:w="1017"/>
        <w:gridCol w:w="1017"/>
        <w:gridCol w:w="1017"/>
        <w:gridCol w:w="832"/>
        <w:gridCol w:w="832"/>
        <w:gridCol w:w="1346"/>
        <w:gridCol w:w="1360"/>
      </w:tblGrid>
      <w:tr w:rsidR="00514EC3" w:rsidRPr="00EC57A7" w14:paraId="1672A629" w14:textId="77777777" w:rsidTr="00251AE7">
        <w:trPr>
          <w:trHeight w:val="255"/>
        </w:trPr>
        <w:tc>
          <w:tcPr>
            <w:tcW w:w="1060" w:type="dxa"/>
            <w:tcBorders>
              <w:top w:val="nil"/>
              <w:left w:val="nil"/>
              <w:bottom w:val="nil"/>
              <w:right w:val="nil"/>
            </w:tcBorders>
            <w:shd w:val="clear" w:color="auto" w:fill="auto"/>
            <w:noWrap/>
            <w:vAlign w:val="center"/>
            <w:hideMark/>
          </w:tcPr>
          <w:p w14:paraId="552CF8B8"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宋体" w:eastAsia="宋体" w:hAnsi="宋体" w:cs="宋体"/>
                <w:sz w:val="20"/>
                <w:szCs w:val="24"/>
                <w:lang w:eastAsia="zh-CN"/>
              </w:rPr>
            </w:pPr>
          </w:p>
        </w:tc>
        <w:tc>
          <w:tcPr>
            <w:tcW w:w="7421"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94E9338"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EC57A7">
              <w:rPr>
                <w:rFonts w:ascii="Arial" w:eastAsia="宋体" w:hAnsi="Arial" w:cs="Arial"/>
                <w:b/>
                <w:bCs/>
                <w:color w:val="000000"/>
                <w:sz w:val="18"/>
                <w:szCs w:val="18"/>
                <w:lang w:eastAsia="zh-CN"/>
              </w:rPr>
              <w:t xml:space="preserve">All Intra Main 10 </w:t>
            </w:r>
          </w:p>
        </w:tc>
      </w:tr>
      <w:tr w:rsidR="00514EC3" w:rsidRPr="00EC57A7" w14:paraId="5C144027" w14:textId="77777777" w:rsidTr="00251AE7">
        <w:trPr>
          <w:trHeight w:val="255"/>
        </w:trPr>
        <w:tc>
          <w:tcPr>
            <w:tcW w:w="1060" w:type="dxa"/>
            <w:tcBorders>
              <w:top w:val="nil"/>
              <w:left w:val="nil"/>
              <w:bottom w:val="nil"/>
              <w:right w:val="nil"/>
            </w:tcBorders>
            <w:shd w:val="clear" w:color="auto" w:fill="auto"/>
            <w:noWrap/>
            <w:vAlign w:val="center"/>
            <w:hideMark/>
          </w:tcPr>
          <w:p w14:paraId="475D2C11"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7421" w:type="dxa"/>
            <w:gridSpan w:val="7"/>
            <w:tcBorders>
              <w:top w:val="nil"/>
              <w:left w:val="single" w:sz="8" w:space="0" w:color="auto"/>
              <w:bottom w:val="nil"/>
              <w:right w:val="single" w:sz="8" w:space="0" w:color="auto"/>
            </w:tcBorders>
            <w:shd w:val="clear" w:color="auto" w:fill="auto"/>
            <w:noWrap/>
            <w:vAlign w:val="center"/>
            <w:hideMark/>
          </w:tcPr>
          <w:p w14:paraId="5C70525A" w14:textId="60CD9C23"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EC57A7">
              <w:rPr>
                <w:rFonts w:ascii="Arial" w:eastAsia="宋体" w:hAnsi="Arial" w:cs="Arial"/>
                <w:b/>
                <w:bCs/>
                <w:color w:val="000000"/>
                <w:sz w:val="18"/>
                <w:szCs w:val="18"/>
                <w:lang w:eastAsia="zh-CN"/>
              </w:rPr>
              <w:t xml:space="preserve">Over </w:t>
            </w:r>
            <w:r w:rsidR="00727380" w:rsidRPr="00727380">
              <w:rPr>
                <w:rFonts w:ascii="Arial" w:eastAsia="宋体" w:hAnsi="Arial" w:cs="Arial"/>
                <w:b/>
                <w:bCs/>
                <w:color w:val="000000"/>
                <w:sz w:val="18"/>
                <w:szCs w:val="18"/>
                <w:lang w:eastAsia="zh-CN"/>
              </w:rPr>
              <w:t>EE2-3.6b</w:t>
            </w:r>
          </w:p>
        </w:tc>
      </w:tr>
      <w:tr w:rsidR="00514EC3" w:rsidRPr="00EC57A7" w14:paraId="20738E59" w14:textId="77777777" w:rsidTr="00251AE7">
        <w:trPr>
          <w:trHeight w:val="255"/>
        </w:trPr>
        <w:tc>
          <w:tcPr>
            <w:tcW w:w="1060" w:type="dxa"/>
            <w:tcBorders>
              <w:top w:val="nil"/>
              <w:left w:val="nil"/>
              <w:bottom w:val="nil"/>
              <w:right w:val="nil"/>
            </w:tcBorders>
            <w:shd w:val="clear" w:color="auto" w:fill="auto"/>
            <w:noWrap/>
            <w:vAlign w:val="center"/>
            <w:hideMark/>
          </w:tcPr>
          <w:p w14:paraId="0FEE02DE"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017" w:type="dxa"/>
            <w:tcBorders>
              <w:top w:val="nil"/>
              <w:left w:val="single" w:sz="8" w:space="0" w:color="auto"/>
              <w:bottom w:val="single" w:sz="8" w:space="0" w:color="auto"/>
              <w:right w:val="nil"/>
            </w:tcBorders>
            <w:shd w:val="clear" w:color="auto" w:fill="auto"/>
            <w:noWrap/>
            <w:vAlign w:val="center"/>
            <w:hideMark/>
          </w:tcPr>
          <w:p w14:paraId="38F0CB4D"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Y</w:t>
            </w:r>
          </w:p>
        </w:tc>
        <w:tc>
          <w:tcPr>
            <w:tcW w:w="1017" w:type="dxa"/>
            <w:tcBorders>
              <w:top w:val="nil"/>
              <w:left w:val="nil"/>
              <w:bottom w:val="single" w:sz="8" w:space="0" w:color="auto"/>
              <w:right w:val="nil"/>
            </w:tcBorders>
            <w:shd w:val="clear" w:color="auto" w:fill="auto"/>
            <w:noWrap/>
            <w:vAlign w:val="center"/>
            <w:hideMark/>
          </w:tcPr>
          <w:p w14:paraId="08B41BD9"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U</w:t>
            </w:r>
          </w:p>
        </w:tc>
        <w:tc>
          <w:tcPr>
            <w:tcW w:w="1017" w:type="dxa"/>
            <w:tcBorders>
              <w:top w:val="nil"/>
              <w:left w:val="nil"/>
              <w:bottom w:val="single" w:sz="8" w:space="0" w:color="auto"/>
              <w:right w:val="single" w:sz="4" w:space="0" w:color="auto"/>
            </w:tcBorders>
            <w:shd w:val="clear" w:color="auto" w:fill="auto"/>
            <w:noWrap/>
            <w:vAlign w:val="center"/>
            <w:hideMark/>
          </w:tcPr>
          <w:p w14:paraId="009D0344"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V</w:t>
            </w:r>
          </w:p>
        </w:tc>
        <w:tc>
          <w:tcPr>
            <w:tcW w:w="832" w:type="dxa"/>
            <w:tcBorders>
              <w:top w:val="nil"/>
              <w:left w:val="nil"/>
              <w:bottom w:val="single" w:sz="8" w:space="0" w:color="auto"/>
              <w:right w:val="nil"/>
            </w:tcBorders>
            <w:shd w:val="clear" w:color="auto" w:fill="auto"/>
            <w:noWrap/>
            <w:vAlign w:val="center"/>
            <w:hideMark/>
          </w:tcPr>
          <w:p w14:paraId="2292FA5B"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EC57A7">
              <w:rPr>
                <w:rFonts w:ascii="Arial" w:eastAsia="宋体" w:hAnsi="Arial" w:cs="Arial"/>
                <w:color w:val="000000"/>
                <w:sz w:val="18"/>
                <w:szCs w:val="18"/>
                <w:lang w:eastAsia="zh-CN"/>
              </w:rPr>
              <w:t>EncT</w:t>
            </w:r>
            <w:proofErr w:type="spellEnd"/>
          </w:p>
        </w:tc>
        <w:tc>
          <w:tcPr>
            <w:tcW w:w="832" w:type="dxa"/>
            <w:tcBorders>
              <w:top w:val="nil"/>
              <w:left w:val="nil"/>
              <w:bottom w:val="single" w:sz="8" w:space="0" w:color="auto"/>
              <w:right w:val="nil"/>
            </w:tcBorders>
            <w:shd w:val="clear" w:color="auto" w:fill="auto"/>
            <w:noWrap/>
            <w:vAlign w:val="center"/>
            <w:hideMark/>
          </w:tcPr>
          <w:p w14:paraId="7B9B46CE"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EC57A7">
              <w:rPr>
                <w:rFonts w:ascii="Arial" w:eastAsia="宋体" w:hAnsi="Arial" w:cs="Arial"/>
                <w:color w:val="000000"/>
                <w:sz w:val="18"/>
                <w:szCs w:val="18"/>
                <w:lang w:eastAsia="zh-CN"/>
              </w:rPr>
              <w:t>DecT</w:t>
            </w:r>
            <w:proofErr w:type="spellEnd"/>
          </w:p>
        </w:tc>
        <w:tc>
          <w:tcPr>
            <w:tcW w:w="1346" w:type="dxa"/>
            <w:tcBorders>
              <w:top w:val="nil"/>
              <w:left w:val="single" w:sz="4" w:space="0" w:color="auto"/>
              <w:bottom w:val="single" w:sz="8" w:space="0" w:color="auto"/>
              <w:right w:val="nil"/>
            </w:tcBorders>
            <w:shd w:val="clear" w:color="auto" w:fill="auto"/>
            <w:noWrap/>
            <w:vAlign w:val="center"/>
            <w:hideMark/>
          </w:tcPr>
          <w:p w14:paraId="0EF838B3"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EC57A7">
              <w:rPr>
                <w:rFonts w:ascii="Arial" w:eastAsia="宋体" w:hAnsi="Arial" w:cs="Arial"/>
                <w:color w:val="000000"/>
                <w:sz w:val="18"/>
                <w:szCs w:val="18"/>
                <w:lang w:eastAsia="zh-CN"/>
              </w:rPr>
              <w:t>EncVmPeak</w:t>
            </w:r>
            <w:proofErr w:type="spellEnd"/>
          </w:p>
        </w:tc>
        <w:tc>
          <w:tcPr>
            <w:tcW w:w="1360" w:type="dxa"/>
            <w:tcBorders>
              <w:top w:val="nil"/>
              <w:left w:val="single" w:sz="4" w:space="0" w:color="auto"/>
              <w:bottom w:val="single" w:sz="8" w:space="0" w:color="auto"/>
              <w:right w:val="single" w:sz="8" w:space="0" w:color="auto"/>
            </w:tcBorders>
            <w:shd w:val="clear" w:color="auto" w:fill="auto"/>
            <w:noWrap/>
            <w:vAlign w:val="center"/>
            <w:hideMark/>
          </w:tcPr>
          <w:p w14:paraId="63A3DD74"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EC57A7">
              <w:rPr>
                <w:rFonts w:ascii="Arial" w:eastAsia="宋体" w:hAnsi="Arial" w:cs="Arial"/>
                <w:color w:val="000000"/>
                <w:sz w:val="18"/>
                <w:szCs w:val="18"/>
                <w:lang w:eastAsia="zh-CN"/>
              </w:rPr>
              <w:t>DecVmPeak</w:t>
            </w:r>
            <w:proofErr w:type="spellEnd"/>
          </w:p>
        </w:tc>
      </w:tr>
      <w:tr w:rsidR="00514EC3" w:rsidRPr="00EC57A7" w14:paraId="792372DD" w14:textId="77777777" w:rsidTr="00251AE7">
        <w:trPr>
          <w:trHeight w:val="255"/>
        </w:trPr>
        <w:tc>
          <w:tcPr>
            <w:tcW w:w="1060" w:type="dxa"/>
            <w:tcBorders>
              <w:top w:val="nil"/>
              <w:left w:val="single" w:sz="8" w:space="0" w:color="auto"/>
              <w:bottom w:val="nil"/>
              <w:right w:val="single" w:sz="8" w:space="0" w:color="auto"/>
            </w:tcBorders>
            <w:shd w:val="clear" w:color="auto" w:fill="auto"/>
            <w:noWrap/>
            <w:vAlign w:val="center"/>
            <w:hideMark/>
          </w:tcPr>
          <w:p w14:paraId="0C28B2B1"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Class F</w:t>
            </w:r>
          </w:p>
        </w:tc>
        <w:tc>
          <w:tcPr>
            <w:tcW w:w="1017" w:type="dxa"/>
            <w:tcBorders>
              <w:top w:val="nil"/>
              <w:left w:val="nil"/>
              <w:bottom w:val="nil"/>
              <w:right w:val="nil"/>
            </w:tcBorders>
            <w:shd w:val="clear" w:color="auto" w:fill="auto"/>
            <w:noWrap/>
            <w:vAlign w:val="center"/>
            <w:hideMark/>
          </w:tcPr>
          <w:p w14:paraId="105BF949" w14:textId="74574406"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-0.</w:t>
            </w:r>
            <w:r>
              <w:rPr>
                <w:rFonts w:ascii="Arial" w:eastAsia="宋体" w:hAnsi="Arial" w:cs="Arial"/>
                <w:color w:val="000000"/>
                <w:sz w:val="18"/>
                <w:szCs w:val="18"/>
                <w:lang w:eastAsia="zh-CN"/>
              </w:rPr>
              <w:t>01</w:t>
            </w:r>
            <w:r w:rsidRPr="00EC57A7">
              <w:rPr>
                <w:rFonts w:ascii="Arial" w:eastAsia="宋体" w:hAnsi="Arial" w:cs="Arial"/>
                <w:color w:val="000000"/>
                <w:sz w:val="18"/>
                <w:szCs w:val="18"/>
                <w:lang w:eastAsia="zh-CN"/>
              </w:rPr>
              <w:t>%</w:t>
            </w:r>
          </w:p>
        </w:tc>
        <w:tc>
          <w:tcPr>
            <w:tcW w:w="1017" w:type="dxa"/>
            <w:tcBorders>
              <w:top w:val="nil"/>
              <w:left w:val="nil"/>
              <w:bottom w:val="nil"/>
              <w:right w:val="nil"/>
            </w:tcBorders>
            <w:shd w:val="clear" w:color="auto" w:fill="auto"/>
            <w:noWrap/>
            <w:vAlign w:val="center"/>
            <w:hideMark/>
          </w:tcPr>
          <w:p w14:paraId="337715D9" w14:textId="0FC87375"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color w:val="000000"/>
                <w:sz w:val="18"/>
                <w:szCs w:val="18"/>
                <w:lang w:eastAsia="zh-CN"/>
              </w:rPr>
              <w:t>0.03</w:t>
            </w:r>
            <w:r w:rsidRPr="00EC57A7">
              <w:rPr>
                <w:rFonts w:ascii="Arial" w:eastAsia="宋体" w:hAnsi="Arial" w:cs="Arial"/>
                <w:color w:val="000000"/>
                <w:sz w:val="18"/>
                <w:szCs w:val="18"/>
                <w:lang w:eastAsia="zh-CN"/>
              </w:rPr>
              <w:t>%</w:t>
            </w:r>
          </w:p>
        </w:tc>
        <w:tc>
          <w:tcPr>
            <w:tcW w:w="1017" w:type="dxa"/>
            <w:tcBorders>
              <w:top w:val="nil"/>
              <w:left w:val="nil"/>
              <w:bottom w:val="nil"/>
              <w:right w:val="single" w:sz="4" w:space="0" w:color="auto"/>
            </w:tcBorders>
            <w:shd w:val="clear" w:color="auto" w:fill="auto"/>
            <w:noWrap/>
            <w:vAlign w:val="center"/>
            <w:hideMark/>
          </w:tcPr>
          <w:p w14:paraId="7A8E05BD" w14:textId="060E48B4"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Pr>
                <w:rFonts w:ascii="Arial" w:eastAsia="宋体" w:hAnsi="Arial" w:cs="Arial"/>
                <w:color w:val="000000"/>
                <w:sz w:val="18"/>
                <w:szCs w:val="18"/>
                <w:lang w:eastAsia="zh-CN"/>
              </w:rPr>
              <w:t>0.19</w:t>
            </w:r>
            <w:r w:rsidRPr="00EC57A7">
              <w:rPr>
                <w:rFonts w:ascii="Arial" w:eastAsia="宋体" w:hAnsi="Arial" w:cs="Arial"/>
                <w:color w:val="000000"/>
                <w:sz w:val="18"/>
                <w:szCs w:val="18"/>
                <w:lang w:eastAsia="zh-CN"/>
              </w:rPr>
              <w:t>%</w:t>
            </w:r>
          </w:p>
        </w:tc>
        <w:tc>
          <w:tcPr>
            <w:tcW w:w="832" w:type="dxa"/>
            <w:tcBorders>
              <w:top w:val="nil"/>
              <w:left w:val="nil"/>
              <w:bottom w:val="nil"/>
              <w:right w:val="nil"/>
            </w:tcBorders>
            <w:shd w:val="clear" w:color="auto" w:fill="auto"/>
            <w:noWrap/>
            <w:vAlign w:val="center"/>
            <w:hideMark/>
          </w:tcPr>
          <w:p w14:paraId="357F10AF"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#DIV/0!</w:t>
            </w:r>
          </w:p>
        </w:tc>
        <w:tc>
          <w:tcPr>
            <w:tcW w:w="832" w:type="dxa"/>
            <w:tcBorders>
              <w:top w:val="nil"/>
              <w:left w:val="nil"/>
              <w:bottom w:val="nil"/>
              <w:right w:val="nil"/>
            </w:tcBorders>
            <w:shd w:val="clear" w:color="auto" w:fill="auto"/>
            <w:noWrap/>
            <w:vAlign w:val="center"/>
            <w:hideMark/>
          </w:tcPr>
          <w:p w14:paraId="66AFC823"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#DIV/0!</w:t>
            </w:r>
          </w:p>
        </w:tc>
        <w:tc>
          <w:tcPr>
            <w:tcW w:w="1346" w:type="dxa"/>
            <w:tcBorders>
              <w:top w:val="nil"/>
              <w:left w:val="single" w:sz="4" w:space="0" w:color="auto"/>
              <w:bottom w:val="nil"/>
              <w:right w:val="nil"/>
            </w:tcBorders>
            <w:shd w:val="clear" w:color="auto" w:fill="auto"/>
            <w:noWrap/>
            <w:vAlign w:val="center"/>
            <w:hideMark/>
          </w:tcPr>
          <w:p w14:paraId="009DDA42"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#DIV/0!</w:t>
            </w:r>
          </w:p>
        </w:tc>
        <w:tc>
          <w:tcPr>
            <w:tcW w:w="1360" w:type="dxa"/>
            <w:tcBorders>
              <w:top w:val="nil"/>
              <w:left w:val="nil"/>
              <w:bottom w:val="nil"/>
              <w:right w:val="single" w:sz="8" w:space="0" w:color="auto"/>
            </w:tcBorders>
            <w:shd w:val="clear" w:color="auto" w:fill="auto"/>
            <w:noWrap/>
            <w:vAlign w:val="center"/>
            <w:hideMark/>
          </w:tcPr>
          <w:p w14:paraId="42CACCE6"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#DIV/0!</w:t>
            </w:r>
          </w:p>
        </w:tc>
      </w:tr>
      <w:tr w:rsidR="00514EC3" w:rsidRPr="00EC57A7" w14:paraId="62AE1C81" w14:textId="77777777" w:rsidTr="00251AE7">
        <w:trPr>
          <w:trHeight w:val="255"/>
        </w:trPr>
        <w:tc>
          <w:tcPr>
            <w:tcW w:w="1060" w:type="dxa"/>
            <w:tcBorders>
              <w:top w:val="nil"/>
              <w:left w:val="single" w:sz="8" w:space="0" w:color="auto"/>
              <w:bottom w:val="single" w:sz="8" w:space="0" w:color="auto"/>
              <w:right w:val="single" w:sz="8" w:space="0" w:color="auto"/>
            </w:tcBorders>
            <w:shd w:val="clear" w:color="auto" w:fill="auto"/>
            <w:noWrap/>
            <w:vAlign w:val="center"/>
            <w:hideMark/>
          </w:tcPr>
          <w:p w14:paraId="5FFA6F63"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Class TGM</w:t>
            </w:r>
          </w:p>
        </w:tc>
        <w:tc>
          <w:tcPr>
            <w:tcW w:w="1017" w:type="dxa"/>
            <w:tcBorders>
              <w:top w:val="nil"/>
              <w:left w:val="nil"/>
              <w:bottom w:val="single" w:sz="8" w:space="0" w:color="auto"/>
              <w:right w:val="nil"/>
            </w:tcBorders>
            <w:shd w:val="clear" w:color="auto" w:fill="auto"/>
            <w:noWrap/>
            <w:vAlign w:val="center"/>
            <w:hideMark/>
          </w:tcPr>
          <w:p w14:paraId="25900068" w14:textId="5E613CD6"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-0.</w:t>
            </w:r>
            <w:r>
              <w:rPr>
                <w:rFonts w:ascii="Arial" w:eastAsia="宋体" w:hAnsi="Arial" w:cs="Arial"/>
                <w:color w:val="000000"/>
                <w:sz w:val="18"/>
                <w:szCs w:val="18"/>
                <w:lang w:eastAsia="zh-CN"/>
              </w:rPr>
              <w:t>04</w:t>
            </w:r>
            <w:r w:rsidRPr="00EC57A7">
              <w:rPr>
                <w:rFonts w:ascii="Arial" w:eastAsia="宋体" w:hAnsi="Arial" w:cs="Arial"/>
                <w:color w:val="000000"/>
                <w:sz w:val="18"/>
                <w:szCs w:val="18"/>
                <w:lang w:eastAsia="zh-CN"/>
              </w:rPr>
              <w:t>%</w:t>
            </w:r>
          </w:p>
        </w:tc>
        <w:tc>
          <w:tcPr>
            <w:tcW w:w="1017" w:type="dxa"/>
            <w:tcBorders>
              <w:top w:val="nil"/>
              <w:left w:val="nil"/>
              <w:bottom w:val="single" w:sz="8" w:space="0" w:color="auto"/>
              <w:right w:val="nil"/>
            </w:tcBorders>
            <w:shd w:val="clear" w:color="auto" w:fill="auto"/>
            <w:noWrap/>
            <w:vAlign w:val="center"/>
            <w:hideMark/>
          </w:tcPr>
          <w:p w14:paraId="206C6EA6" w14:textId="7AE639F9"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-0.</w:t>
            </w:r>
            <w:r>
              <w:rPr>
                <w:rFonts w:ascii="Arial" w:eastAsia="宋体" w:hAnsi="Arial" w:cs="Arial"/>
                <w:color w:val="000000"/>
                <w:sz w:val="18"/>
                <w:szCs w:val="18"/>
                <w:lang w:eastAsia="zh-CN"/>
              </w:rPr>
              <w:t>03</w:t>
            </w:r>
            <w:r w:rsidRPr="00EC57A7">
              <w:rPr>
                <w:rFonts w:ascii="Arial" w:eastAsia="宋体" w:hAnsi="Arial" w:cs="Arial"/>
                <w:color w:val="000000"/>
                <w:sz w:val="18"/>
                <w:szCs w:val="18"/>
                <w:lang w:eastAsia="zh-CN"/>
              </w:rPr>
              <w:t>%</w:t>
            </w:r>
          </w:p>
        </w:tc>
        <w:tc>
          <w:tcPr>
            <w:tcW w:w="1017" w:type="dxa"/>
            <w:tcBorders>
              <w:top w:val="nil"/>
              <w:left w:val="nil"/>
              <w:bottom w:val="single" w:sz="8" w:space="0" w:color="auto"/>
              <w:right w:val="single" w:sz="4" w:space="0" w:color="auto"/>
            </w:tcBorders>
            <w:shd w:val="clear" w:color="auto" w:fill="auto"/>
            <w:noWrap/>
            <w:vAlign w:val="center"/>
            <w:hideMark/>
          </w:tcPr>
          <w:p w14:paraId="7ADD9A1D" w14:textId="46366702"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-0.</w:t>
            </w:r>
            <w:r>
              <w:rPr>
                <w:rFonts w:ascii="Arial" w:eastAsia="宋体" w:hAnsi="Arial" w:cs="Arial"/>
                <w:color w:val="000000"/>
                <w:sz w:val="18"/>
                <w:szCs w:val="18"/>
                <w:lang w:eastAsia="zh-CN"/>
              </w:rPr>
              <w:t>02</w:t>
            </w:r>
            <w:r w:rsidRPr="00EC57A7">
              <w:rPr>
                <w:rFonts w:ascii="Arial" w:eastAsia="宋体" w:hAnsi="Arial" w:cs="Arial"/>
                <w:color w:val="000000"/>
                <w:sz w:val="18"/>
                <w:szCs w:val="18"/>
                <w:lang w:eastAsia="zh-CN"/>
              </w:rPr>
              <w:t>%</w:t>
            </w:r>
          </w:p>
        </w:tc>
        <w:tc>
          <w:tcPr>
            <w:tcW w:w="832" w:type="dxa"/>
            <w:tcBorders>
              <w:top w:val="nil"/>
              <w:left w:val="nil"/>
              <w:bottom w:val="single" w:sz="8" w:space="0" w:color="auto"/>
              <w:right w:val="nil"/>
            </w:tcBorders>
            <w:shd w:val="clear" w:color="auto" w:fill="auto"/>
            <w:noWrap/>
            <w:vAlign w:val="center"/>
            <w:hideMark/>
          </w:tcPr>
          <w:p w14:paraId="226E3323"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#DIV/0!</w:t>
            </w:r>
          </w:p>
        </w:tc>
        <w:tc>
          <w:tcPr>
            <w:tcW w:w="832" w:type="dxa"/>
            <w:tcBorders>
              <w:top w:val="nil"/>
              <w:left w:val="nil"/>
              <w:bottom w:val="single" w:sz="8" w:space="0" w:color="auto"/>
              <w:right w:val="nil"/>
            </w:tcBorders>
            <w:shd w:val="clear" w:color="auto" w:fill="auto"/>
            <w:noWrap/>
            <w:vAlign w:val="center"/>
            <w:hideMark/>
          </w:tcPr>
          <w:p w14:paraId="78AC8F11"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#DIV/0!</w:t>
            </w:r>
          </w:p>
        </w:tc>
        <w:tc>
          <w:tcPr>
            <w:tcW w:w="1346" w:type="dxa"/>
            <w:tcBorders>
              <w:top w:val="nil"/>
              <w:left w:val="single" w:sz="4" w:space="0" w:color="auto"/>
              <w:bottom w:val="single" w:sz="8" w:space="0" w:color="auto"/>
              <w:right w:val="nil"/>
            </w:tcBorders>
            <w:shd w:val="clear" w:color="auto" w:fill="auto"/>
            <w:noWrap/>
            <w:vAlign w:val="center"/>
            <w:hideMark/>
          </w:tcPr>
          <w:p w14:paraId="0EF978B6"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#DIV/0!</w:t>
            </w:r>
          </w:p>
        </w:tc>
        <w:tc>
          <w:tcPr>
            <w:tcW w:w="1360" w:type="dxa"/>
            <w:tcBorders>
              <w:top w:val="nil"/>
              <w:left w:val="nil"/>
              <w:bottom w:val="single" w:sz="8" w:space="0" w:color="auto"/>
              <w:right w:val="single" w:sz="8" w:space="0" w:color="auto"/>
            </w:tcBorders>
            <w:shd w:val="clear" w:color="auto" w:fill="auto"/>
            <w:noWrap/>
            <w:vAlign w:val="center"/>
            <w:hideMark/>
          </w:tcPr>
          <w:p w14:paraId="1398A993" w14:textId="77777777" w:rsidR="00514EC3" w:rsidRPr="00EC57A7" w:rsidRDefault="00514EC3" w:rsidP="00251A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EC57A7">
              <w:rPr>
                <w:rFonts w:ascii="Arial" w:eastAsia="宋体" w:hAnsi="Arial" w:cs="Arial"/>
                <w:color w:val="000000"/>
                <w:sz w:val="18"/>
                <w:szCs w:val="18"/>
                <w:lang w:eastAsia="zh-CN"/>
              </w:rPr>
              <w:t>#DIV/0!</w:t>
            </w:r>
          </w:p>
        </w:tc>
      </w:tr>
    </w:tbl>
    <w:p w14:paraId="5A7B0EE2" w14:textId="77777777" w:rsidR="00514EC3" w:rsidRDefault="00514EC3" w:rsidP="00514EC3">
      <w:pPr>
        <w:rPr>
          <w:lang w:val="en-CA" w:eastAsia="zh-CN"/>
        </w:rPr>
      </w:pPr>
    </w:p>
    <w:p w14:paraId="43D7A0BA" w14:textId="41544F82" w:rsidR="00AB7A72" w:rsidRDefault="00AB7A72" w:rsidP="00AB7A72">
      <w:pPr>
        <w:pStyle w:val="1"/>
        <w:ind w:left="432" w:hanging="432"/>
        <w:rPr>
          <w:lang w:val="en-CA" w:eastAsia="zh-CN"/>
        </w:rPr>
      </w:pPr>
      <w:r>
        <w:rPr>
          <w:rFonts w:hint="eastAsia"/>
          <w:lang w:val="en-CA" w:eastAsia="zh-CN"/>
        </w:rPr>
        <w:t>C</w:t>
      </w:r>
      <w:r>
        <w:rPr>
          <w:lang w:val="en-CA" w:eastAsia="zh-CN"/>
        </w:rPr>
        <w:t>onclusions</w:t>
      </w:r>
    </w:p>
    <w:p w14:paraId="5735CBA3" w14:textId="28210036" w:rsidR="00EC57A7" w:rsidRDefault="00514EC3" w:rsidP="009234A5">
      <w:pPr>
        <w:rPr>
          <w:lang w:val="en-CA"/>
        </w:rPr>
      </w:pPr>
      <w:r w:rsidRPr="00514EC3">
        <w:rPr>
          <w:szCs w:val="22"/>
          <w:lang w:val="en-CA"/>
        </w:rPr>
        <w:t>In this contribution,</w:t>
      </w:r>
      <w:r>
        <w:rPr>
          <w:szCs w:val="22"/>
          <w:lang w:val="en-CA"/>
        </w:rPr>
        <w:t xml:space="preserve"> w</w:t>
      </w:r>
      <w:r w:rsidRPr="00AB7A72">
        <w:rPr>
          <w:szCs w:val="22"/>
          <w:lang w:val="en-CA"/>
        </w:rPr>
        <w:t>ithout changing the total coding budget, this preferentially allocates the budget to</w:t>
      </w:r>
      <w:r>
        <w:rPr>
          <w:szCs w:val="22"/>
          <w:lang w:val="en-CA"/>
        </w:rPr>
        <w:t xml:space="preserve"> </w:t>
      </w:r>
      <w:r w:rsidRPr="00AB7A72">
        <w:rPr>
          <w:szCs w:val="22"/>
          <w:lang w:val="en-CA"/>
        </w:rPr>
        <w:t>syntax element with high coding efficiency.</w:t>
      </w:r>
      <w:r w:rsidRPr="00AB7A72">
        <w:rPr>
          <w:lang w:val="en-CA"/>
        </w:rPr>
        <w:t xml:space="preserve"> </w:t>
      </w:r>
      <w:r w:rsidRPr="00274AC8">
        <w:rPr>
          <w:lang w:val="en-CA"/>
        </w:rPr>
        <w:t>The proposed method bring</w:t>
      </w:r>
      <w:r>
        <w:rPr>
          <w:lang w:val="en-CA"/>
        </w:rPr>
        <w:t>s</w:t>
      </w:r>
      <w:r w:rsidRPr="00274AC8">
        <w:rPr>
          <w:lang w:val="en-CA"/>
        </w:rPr>
        <w:t xml:space="preserve"> </w:t>
      </w:r>
      <w:r>
        <w:rPr>
          <w:lang w:val="en-CA"/>
        </w:rPr>
        <w:t xml:space="preserve">noticeable </w:t>
      </w:r>
      <w:r w:rsidRPr="00274AC8">
        <w:rPr>
          <w:lang w:val="en-CA"/>
        </w:rPr>
        <w:t>coding gains compared to ECM-</w:t>
      </w:r>
      <w:r>
        <w:rPr>
          <w:lang w:val="en-CA"/>
        </w:rPr>
        <w:t>17.0</w:t>
      </w:r>
      <w:r w:rsidR="00AC6494">
        <w:rPr>
          <w:lang w:val="en-CA"/>
        </w:rPr>
        <w:t xml:space="preserve"> and </w:t>
      </w:r>
      <w:r w:rsidR="00AC6494" w:rsidRPr="00AC6494">
        <w:rPr>
          <w:lang w:val="en-CA"/>
        </w:rPr>
        <w:t>EE2-3.6b by reducing the bitrate</w:t>
      </w:r>
      <w:r w:rsidRPr="00274AC8">
        <w:rPr>
          <w:lang w:val="en-CA"/>
        </w:rPr>
        <w:t>.</w:t>
      </w:r>
      <w:r>
        <w:rPr>
          <w:lang w:val="en-CA"/>
        </w:rPr>
        <w:t xml:space="preserve"> </w:t>
      </w:r>
      <w:r w:rsidRPr="0035740B">
        <w:rPr>
          <w:lang w:val="en-CA"/>
        </w:rPr>
        <w:t>It is suggested to further study this method in the next round of EE2</w:t>
      </w:r>
      <w:r>
        <w:rPr>
          <w:lang w:val="en-CA"/>
        </w:rPr>
        <w:t>.</w:t>
      </w:r>
    </w:p>
    <w:p w14:paraId="6F442BFB" w14:textId="1207EDE5" w:rsidR="00AB7A72" w:rsidRPr="00AB7A72" w:rsidRDefault="00AB7A72" w:rsidP="00AB7A72">
      <w:pPr>
        <w:pStyle w:val="1"/>
        <w:rPr>
          <w:lang w:val="en-CA" w:eastAsia="zh-CN"/>
        </w:rPr>
      </w:pPr>
      <w:r>
        <w:rPr>
          <w:lang w:val="en-CA" w:eastAsia="zh-CN"/>
        </w:rPr>
        <w:t>References</w:t>
      </w:r>
    </w:p>
    <w:p w14:paraId="55A6EE2C" w14:textId="123AB6AB" w:rsidR="001D0E48" w:rsidRDefault="001D0E48" w:rsidP="001D0E48">
      <w:pPr>
        <w:numPr>
          <w:ilvl w:val="0"/>
          <w:numId w:val="13"/>
        </w:numPr>
        <w:tabs>
          <w:tab w:val="clear" w:pos="360"/>
          <w:tab w:val="clear" w:pos="720"/>
        </w:tabs>
        <w:overflowPunct/>
        <w:autoSpaceDE/>
        <w:adjustRightInd/>
        <w:spacing w:before="0"/>
        <w:contextualSpacing/>
        <w:textAlignment w:val="auto"/>
        <w:rPr>
          <w:szCs w:val="22"/>
          <w:lang w:val="en-CA"/>
        </w:rPr>
      </w:pPr>
      <w:r w:rsidRPr="001D0E48">
        <w:rPr>
          <w:szCs w:val="22"/>
          <w:lang w:val="en-CA"/>
        </w:rPr>
        <w:t>Y. Yu, L. Xu, J. Gan, H. Yu, D. Wang</w:t>
      </w:r>
      <w:r>
        <w:rPr>
          <w:szCs w:val="22"/>
          <w:lang w:val="en-CA"/>
        </w:rPr>
        <w:t>, "</w:t>
      </w:r>
      <w:r w:rsidRPr="001D0E48">
        <w:rPr>
          <w:szCs w:val="22"/>
          <w:lang w:val="en-CA"/>
        </w:rPr>
        <w:t>EE2-related: On binarization of a coefficient level in TSRC</w:t>
      </w:r>
      <w:r>
        <w:rPr>
          <w:szCs w:val="22"/>
          <w:lang w:val="en-CA"/>
        </w:rPr>
        <w:t>", JVET-AL0109, April, 2025.</w:t>
      </w:r>
    </w:p>
    <w:p w14:paraId="717E6934" w14:textId="6AFFCE3C" w:rsidR="0037104E" w:rsidRPr="0037104E" w:rsidRDefault="0037104E" w:rsidP="0037104E">
      <w:pPr>
        <w:numPr>
          <w:ilvl w:val="0"/>
          <w:numId w:val="13"/>
        </w:numPr>
        <w:tabs>
          <w:tab w:val="clear" w:pos="360"/>
          <w:tab w:val="clear" w:pos="720"/>
        </w:tabs>
        <w:overflowPunct/>
        <w:autoSpaceDE/>
        <w:adjustRightInd/>
        <w:spacing w:before="0"/>
        <w:contextualSpacing/>
        <w:textAlignment w:val="auto"/>
        <w:rPr>
          <w:szCs w:val="22"/>
          <w:lang w:val="en-CA"/>
        </w:rPr>
      </w:pPr>
      <w:r w:rsidRPr="0037104E">
        <w:rPr>
          <w:szCs w:val="22"/>
          <w:lang w:val="en-CA"/>
        </w:rPr>
        <w:t xml:space="preserve">M. </w:t>
      </w:r>
      <w:proofErr w:type="spellStart"/>
      <w:r w:rsidRPr="0037104E">
        <w:rPr>
          <w:szCs w:val="22"/>
          <w:lang w:val="en-CA"/>
        </w:rPr>
        <w:t>Abdoli</w:t>
      </w:r>
      <w:proofErr w:type="spellEnd"/>
      <w:r w:rsidRPr="0037104E">
        <w:rPr>
          <w:szCs w:val="22"/>
          <w:lang w:val="en-CA"/>
        </w:rPr>
        <w:t xml:space="preserve">, R. G. </w:t>
      </w:r>
      <w:proofErr w:type="spellStart"/>
      <w:r w:rsidRPr="0037104E">
        <w:rPr>
          <w:szCs w:val="22"/>
          <w:lang w:val="en-CA"/>
        </w:rPr>
        <w:t>Youvalari</w:t>
      </w:r>
      <w:proofErr w:type="spellEnd"/>
      <w:r w:rsidRPr="0037104E">
        <w:rPr>
          <w:szCs w:val="22"/>
          <w:lang w:val="en-CA"/>
        </w:rPr>
        <w:t>, F. Plowman, A. Tissier</w:t>
      </w:r>
      <w:r>
        <w:rPr>
          <w:szCs w:val="22"/>
          <w:lang w:val="en-CA"/>
        </w:rPr>
        <w:t>, "</w:t>
      </w:r>
      <w:r w:rsidRPr="0037104E">
        <w:rPr>
          <w:szCs w:val="22"/>
          <w:lang w:val="en-CA"/>
        </w:rPr>
        <w:t>EE2-4.3: On coefficient level binarization in Transform Skip</w:t>
      </w:r>
      <w:r>
        <w:rPr>
          <w:szCs w:val="22"/>
          <w:lang w:val="en-CA"/>
        </w:rPr>
        <w:t>", JVET-AL0158, April, 2025.</w:t>
      </w:r>
    </w:p>
    <w:p w14:paraId="5379B416" w14:textId="6163DA99" w:rsidR="001D0E48" w:rsidRDefault="001D0E48" w:rsidP="001D0E48">
      <w:pPr>
        <w:numPr>
          <w:ilvl w:val="0"/>
          <w:numId w:val="13"/>
        </w:numPr>
        <w:tabs>
          <w:tab w:val="clear" w:pos="360"/>
        </w:tabs>
        <w:overflowPunct/>
        <w:autoSpaceDE/>
        <w:adjustRightInd/>
        <w:spacing w:before="0"/>
        <w:contextualSpacing/>
        <w:textAlignment w:val="auto"/>
        <w:rPr>
          <w:szCs w:val="22"/>
          <w:lang w:val="en-CA"/>
        </w:rPr>
      </w:pPr>
      <w:bookmarkStart w:id="1" w:name="_Ref69216638"/>
      <w:bookmarkStart w:id="2" w:name="_Ref92207503"/>
      <w:r>
        <w:rPr>
          <w:szCs w:val="22"/>
          <w:lang w:val="en-CA"/>
        </w:rPr>
        <w:t xml:space="preserve">ECM-17.0, </w:t>
      </w:r>
      <w:bookmarkEnd w:id="1"/>
      <w:r>
        <w:rPr>
          <w:szCs w:val="22"/>
          <w:lang w:val="en-CA"/>
        </w:rPr>
        <w:t>https://vcgit.hhi.fraunhofer.de/ecm/ECM/-/tags/ECM-</w:t>
      </w:r>
      <w:bookmarkEnd w:id="2"/>
      <w:r>
        <w:rPr>
          <w:szCs w:val="22"/>
          <w:lang w:val="en-CA"/>
        </w:rPr>
        <w:t>17.0</w:t>
      </w:r>
    </w:p>
    <w:p w14:paraId="402DE11C" w14:textId="65172351" w:rsidR="00AB7A72" w:rsidRDefault="001D0E48" w:rsidP="00AB7A72">
      <w:pPr>
        <w:numPr>
          <w:ilvl w:val="0"/>
          <w:numId w:val="13"/>
        </w:numPr>
        <w:tabs>
          <w:tab w:val="clear" w:pos="360"/>
        </w:tabs>
        <w:overflowPunct/>
        <w:autoSpaceDE/>
        <w:adjustRightInd/>
        <w:spacing w:before="0"/>
        <w:contextualSpacing/>
        <w:textAlignment w:val="auto"/>
        <w:rPr>
          <w:szCs w:val="22"/>
          <w:lang w:val="en-CA"/>
        </w:rPr>
      </w:pPr>
      <w:bookmarkStart w:id="3" w:name="_Ref75879176"/>
      <w:r>
        <w:rPr>
          <w:szCs w:val="22"/>
          <w:lang w:val="en-CA"/>
        </w:rPr>
        <w:t xml:space="preserve">M. </w:t>
      </w:r>
      <w:proofErr w:type="spellStart"/>
      <w:r>
        <w:rPr>
          <w:szCs w:val="22"/>
          <w:lang w:val="en-CA"/>
        </w:rPr>
        <w:t>Karczewicz</w:t>
      </w:r>
      <w:proofErr w:type="spellEnd"/>
      <w:r>
        <w:rPr>
          <w:szCs w:val="22"/>
          <w:lang w:val="en-CA"/>
        </w:rPr>
        <w:t>, Y. Ye, “Common Test Conditions and evaluation procedures for enhanced compression tool testing”, JVET-AI2017, July, 2024.</w:t>
      </w:r>
      <w:bookmarkEnd w:id="3"/>
      <w:r>
        <w:rPr>
          <w:szCs w:val="22"/>
          <w:lang w:val="en-CA"/>
        </w:rPr>
        <w:t xml:space="preserve"> </w:t>
      </w:r>
    </w:p>
    <w:p w14:paraId="62B5CD8D" w14:textId="77777777" w:rsidR="00E04BE2" w:rsidRDefault="00E04BE2" w:rsidP="00E04BE2">
      <w:pPr>
        <w:pStyle w:val="1"/>
        <w:rPr>
          <w:lang w:val="en-CA"/>
        </w:rPr>
      </w:pPr>
      <w:r>
        <w:rPr>
          <w:lang w:val="en-CA"/>
        </w:rPr>
        <w:t>Patent rights declaration(s)</w:t>
      </w:r>
    </w:p>
    <w:p w14:paraId="739B8657" w14:textId="77777777" w:rsidR="00E04BE2" w:rsidRDefault="00E04BE2" w:rsidP="00E04BE2">
      <w:pPr>
        <w:rPr>
          <w:szCs w:val="22"/>
          <w:lang w:val="en-CA"/>
        </w:rPr>
      </w:pPr>
      <w:proofErr w:type="spellStart"/>
      <w:r>
        <w:rPr>
          <w:b/>
          <w:szCs w:val="22"/>
          <w:lang w:val="en-CA"/>
        </w:rPr>
        <w:t>Xidian</w:t>
      </w:r>
      <w:proofErr w:type="spellEnd"/>
      <w:r>
        <w:rPr>
          <w:b/>
          <w:szCs w:val="22"/>
          <w:lang w:val="en-CA"/>
        </w:rPr>
        <w:t xml:space="preserve"> University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07DBBEE" w14:textId="77777777" w:rsidR="00E04BE2" w:rsidRDefault="00E04BE2" w:rsidP="00E04BE2">
      <w:pPr>
        <w:rPr>
          <w:b/>
          <w:szCs w:val="22"/>
          <w:lang w:val="en-CA"/>
        </w:rPr>
      </w:pPr>
      <w:r>
        <w:rPr>
          <w:b/>
          <w:szCs w:val="22"/>
          <w:lang w:val="en-CA"/>
        </w:rPr>
        <w:t>Hisense Group Co., Ltd.,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43B2B58A" w14:textId="77777777" w:rsidR="00E04BE2" w:rsidRPr="00E04BE2" w:rsidRDefault="00E04BE2" w:rsidP="00E04BE2">
      <w:pPr>
        <w:tabs>
          <w:tab w:val="clear" w:pos="360"/>
        </w:tabs>
        <w:overflowPunct/>
        <w:autoSpaceDE/>
        <w:adjustRightInd/>
        <w:spacing w:before="0"/>
        <w:contextualSpacing/>
        <w:textAlignment w:val="auto"/>
        <w:rPr>
          <w:szCs w:val="22"/>
          <w:lang w:val="en-CA"/>
        </w:rPr>
      </w:pPr>
    </w:p>
    <w:sectPr w:rsidR="00E04BE2" w:rsidRPr="00E04BE2" w:rsidSect="00925CE2">
      <w:footerReference w:type="default" r:id="rId19"/>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E7E22" w14:textId="77777777" w:rsidR="0093068B" w:rsidRDefault="0093068B">
      <w:r>
        <w:separator/>
      </w:r>
    </w:p>
  </w:endnote>
  <w:endnote w:type="continuationSeparator" w:id="0">
    <w:p w14:paraId="25D9A422" w14:textId="77777777" w:rsidR="0093068B" w:rsidRDefault="00930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default"/>
  </w:font>
  <w:font w:name="Tahoma">
    <w:panose1 w:val="020B0604030504040204"/>
    <w:charset w:val="00"/>
    <w:family w:val="swiss"/>
    <w:pitch w:val="variable"/>
    <w:sig w:usb0="E1002EFF" w:usb1="C000605B" w:usb2="00000029" w:usb3="00000000" w:csb0="000101FF" w:csb1="00000000"/>
  </w:font>
  <w:font w:name="楷体_GB2312">
    <w:altName w:val="楷体"/>
    <w:charset w:val="86"/>
    <w:family w:val="modern"/>
    <w:pitch w:val="default"/>
    <w:sig w:usb0="00000000" w:usb1="0000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4C4AC55C"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36188">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E04BE2">
      <w:rPr>
        <w:rStyle w:val="a5"/>
        <w:noProof/>
      </w:rPr>
      <w:t>2025-06-19</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49C1F" w14:textId="77777777" w:rsidR="0093068B" w:rsidRDefault="0093068B">
      <w:r>
        <w:separator/>
      </w:r>
    </w:p>
  </w:footnote>
  <w:footnote w:type="continuationSeparator" w:id="0">
    <w:p w14:paraId="457E6F01" w14:textId="77777777" w:rsidR="0093068B" w:rsidRDefault="009306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19471AA"/>
    <w:multiLevelType w:val="hybridMultilevel"/>
    <w:tmpl w:val="1CF68CCC"/>
    <w:lvl w:ilvl="0" w:tplc="BD32AB3C">
      <w:start w:val="1"/>
      <w:numFmt w:val="decimal"/>
      <w:lvlText w:val="[%1]"/>
      <w:lvlJc w:val="left"/>
      <w:pPr>
        <w:ind w:left="360" w:hanging="360"/>
      </w:pPr>
      <w:rPr>
        <w:lang w:val="en-CA"/>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5E456AB"/>
    <w:multiLevelType w:val="hybridMultilevel"/>
    <w:tmpl w:val="6D2EDBEC"/>
    <w:lvl w:ilvl="0" w:tplc="EA88E458">
      <w:start w:val="1"/>
      <w:numFmt w:val="decimal"/>
      <w:lvlText w:val="[%1]"/>
      <w:lvlJc w:val="left"/>
      <w:pPr>
        <w:ind w:left="529"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9"/>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10"/>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5A30"/>
    <w:rsid w:val="000308A3"/>
    <w:rsid w:val="000311BD"/>
    <w:rsid w:val="00032350"/>
    <w:rsid w:val="000424B7"/>
    <w:rsid w:val="0004543A"/>
    <w:rsid w:val="000458BC"/>
    <w:rsid w:val="00045C41"/>
    <w:rsid w:val="00046C03"/>
    <w:rsid w:val="00065039"/>
    <w:rsid w:val="0007614F"/>
    <w:rsid w:val="00081398"/>
    <w:rsid w:val="00084393"/>
    <w:rsid w:val="000865E1"/>
    <w:rsid w:val="00092AF4"/>
    <w:rsid w:val="00094479"/>
    <w:rsid w:val="000962AC"/>
    <w:rsid w:val="000A18B7"/>
    <w:rsid w:val="000A51BB"/>
    <w:rsid w:val="000B0C0F"/>
    <w:rsid w:val="000B1C6B"/>
    <w:rsid w:val="000B4142"/>
    <w:rsid w:val="000B4FF9"/>
    <w:rsid w:val="000B5FB1"/>
    <w:rsid w:val="000C09AC"/>
    <w:rsid w:val="000C1593"/>
    <w:rsid w:val="000C228D"/>
    <w:rsid w:val="000C2BAA"/>
    <w:rsid w:val="000C5F4C"/>
    <w:rsid w:val="000E00F3"/>
    <w:rsid w:val="000F158C"/>
    <w:rsid w:val="00102F3D"/>
    <w:rsid w:val="00124E38"/>
    <w:rsid w:val="0012580B"/>
    <w:rsid w:val="00131F90"/>
    <w:rsid w:val="0013458C"/>
    <w:rsid w:val="0013526E"/>
    <w:rsid w:val="00146152"/>
    <w:rsid w:val="00155526"/>
    <w:rsid w:val="00171371"/>
    <w:rsid w:val="001744F0"/>
    <w:rsid w:val="00175A24"/>
    <w:rsid w:val="00187E58"/>
    <w:rsid w:val="001A297E"/>
    <w:rsid w:val="001A368E"/>
    <w:rsid w:val="001A7329"/>
    <w:rsid w:val="001A792F"/>
    <w:rsid w:val="001B4E28"/>
    <w:rsid w:val="001C3525"/>
    <w:rsid w:val="001C3AFB"/>
    <w:rsid w:val="001D07F0"/>
    <w:rsid w:val="001D0E48"/>
    <w:rsid w:val="001D1BD2"/>
    <w:rsid w:val="001E0248"/>
    <w:rsid w:val="001E02BE"/>
    <w:rsid w:val="001E346C"/>
    <w:rsid w:val="001E3B37"/>
    <w:rsid w:val="001F2594"/>
    <w:rsid w:val="001F6A5E"/>
    <w:rsid w:val="002055A6"/>
    <w:rsid w:val="00206460"/>
    <w:rsid w:val="002069B4"/>
    <w:rsid w:val="00215056"/>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91E36"/>
    <w:rsid w:val="00292257"/>
    <w:rsid w:val="002A54E0"/>
    <w:rsid w:val="002B1595"/>
    <w:rsid w:val="002B191D"/>
    <w:rsid w:val="002B2E83"/>
    <w:rsid w:val="002D0AF6"/>
    <w:rsid w:val="002E3933"/>
    <w:rsid w:val="002F164D"/>
    <w:rsid w:val="002F658F"/>
    <w:rsid w:val="003021BC"/>
    <w:rsid w:val="00306206"/>
    <w:rsid w:val="00317D85"/>
    <w:rsid w:val="00327C56"/>
    <w:rsid w:val="003315A1"/>
    <w:rsid w:val="003373EC"/>
    <w:rsid w:val="00342FF4"/>
    <w:rsid w:val="00344E5A"/>
    <w:rsid w:val="00346148"/>
    <w:rsid w:val="003669EA"/>
    <w:rsid w:val="003706CC"/>
    <w:rsid w:val="0037104E"/>
    <w:rsid w:val="003718B7"/>
    <w:rsid w:val="00377710"/>
    <w:rsid w:val="003855CC"/>
    <w:rsid w:val="003A25F5"/>
    <w:rsid w:val="003A2D8E"/>
    <w:rsid w:val="003A7CE6"/>
    <w:rsid w:val="003B5052"/>
    <w:rsid w:val="003C20E4"/>
    <w:rsid w:val="003C369D"/>
    <w:rsid w:val="003D6342"/>
    <w:rsid w:val="003E6F90"/>
    <w:rsid w:val="003E73ED"/>
    <w:rsid w:val="003F5D0F"/>
    <w:rsid w:val="00414101"/>
    <w:rsid w:val="004219CF"/>
    <w:rsid w:val="004234F0"/>
    <w:rsid w:val="00427EEC"/>
    <w:rsid w:val="00433DDB"/>
    <w:rsid w:val="00435A29"/>
    <w:rsid w:val="00437619"/>
    <w:rsid w:val="00444C5F"/>
    <w:rsid w:val="004642E1"/>
    <w:rsid w:val="00465A1E"/>
    <w:rsid w:val="0046797E"/>
    <w:rsid w:val="0049445A"/>
    <w:rsid w:val="004957D9"/>
    <w:rsid w:val="004A2A63"/>
    <w:rsid w:val="004B0D57"/>
    <w:rsid w:val="004B210C"/>
    <w:rsid w:val="004B6170"/>
    <w:rsid w:val="004D405F"/>
    <w:rsid w:val="004E4F4F"/>
    <w:rsid w:val="004E6789"/>
    <w:rsid w:val="004F61E3"/>
    <w:rsid w:val="00502E10"/>
    <w:rsid w:val="0050354E"/>
    <w:rsid w:val="0051015C"/>
    <w:rsid w:val="00510458"/>
    <w:rsid w:val="00514EC3"/>
    <w:rsid w:val="00516CF1"/>
    <w:rsid w:val="00523034"/>
    <w:rsid w:val="00531AE9"/>
    <w:rsid w:val="005320B9"/>
    <w:rsid w:val="00536188"/>
    <w:rsid w:val="00550A66"/>
    <w:rsid w:val="00561F47"/>
    <w:rsid w:val="00567EC7"/>
    <w:rsid w:val="00570013"/>
    <w:rsid w:val="005753EC"/>
    <w:rsid w:val="005801A2"/>
    <w:rsid w:val="005952A5"/>
    <w:rsid w:val="005A33A1"/>
    <w:rsid w:val="005B217D"/>
    <w:rsid w:val="005C385F"/>
    <w:rsid w:val="005C74C3"/>
    <w:rsid w:val="005C7C26"/>
    <w:rsid w:val="005E1AC6"/>
    <w:rsid w:val="005E3F2B"/>
    <w:rsid w:val="005F6F1B"/>
    <w:rsid w:val="00602316"/>
    <w:rsid w:val="006038BC"/>
    <w:rsid w:val="00607AE1"/>
    <w:rsid w:val="00615995"/>
    <w:rsid w:val="00616155"/>
    <w:rsid w:val="00624B33"/>
    <w:rsid w:val="0063041A"/>
    <w:rsid w:val="00630AA2"/>
    <w:rsid w:val="00631D8B"/>
    <w:rsid w:val="00646707"/>
    <w:rsid w:val="00657F7E"/>
    <w:rsid w:val="00662E58"/>
    <w:rsid w:val="006637F2"/>
    <w:rsid w:val="006642A5"/>
    <w:rsid w:val="00664DCF"/>
    <w:rsid w:val="006A0E5C"/>
    <w:rsid w:val="006A48E6"/>
    <w:rsid w:val="006C5D39"/>
    <w:rsid w:val="006C6F00"/>
    <w:rsid w:val="006D6D9B"/>
    <w:rsid w:val="006E2810"/>
    <w:rsid w:val="006E5417"/>
    <w:rsid w:val="006F0794"/>
    <w:rsid w:val="006F2822"/>
    <w:rsid w:val="006F6E01"/>
    <w:rsid w:val="006F7528"/>
    <w:rsid w:val="007023DE"/>
    <w:rsid w:val="00712F60"/>
    <w:rsid w:val="00720E3B"/>
    <w:rsid w:val="00727380"/>
    <w:rsid w:val="0073249C"/>
    <w:rsid w:val="00735925"/>
    <w:rsid w:val="0074393F"/>
    <w:rsid w:val="00745F6B"/>
    <w:rsid w:val="0075175B"/>
    <w:rsid w:val="0075585E"/>
    <w:rsid w:val="00763594"/>
    <w:rsid w:val="00770571"/>
    <w:rsid w:val="007768FF"/>
    <w:rsid w:val="00777075"/>
    <w:rsid w:val="007824D3"/>
    <w:rsid w:val="00796EE3"/>
    <w:rsid w:val="007A422A"/>
    <w:rsid w:val="007A7D29"/>
    <w:rsid w:val="007B4AB8"/>
    <w:rsid w:val="007C081C"/>
    <w:rsid w:val="007D1181"/>
    <w:rsid w:val="007D648E"/>
    <w:rsid w:val="007E01A3"/>
    <w:rsid w:val="007F1F8B"/>
    <w:rsid w:val="007F6205"/>
    <w:rsid w:val="007F67A1"/>
    <w:rsid w:val="00801A7B"/>
    <w:rsid w:val="00811C05"/>
    <w:rsid w:val="008206C8"/>
    <w:rsid w:val="0086387C"/>
    <w:rsid w:val="00874A6C"/>
    <w:rsid w:val="00876C65"/>
    <w:rsid w:val="00882F72"/>
    <w:rsid w:val="00893DC4"/>
    <w:rsid w:val="008A147E"/>
    <w:rsid w:val="008A42F1"/>
    <w:rsid w:val="008A4B4C"/>
    <w:rsid w:val="008C239F"/>
    <w:rsid w:val="008C60F8"/>
    <w:rsid w:val="008E1FAC"/>
    <w:rsid w:val="008E480C"/>
    <w:rsid w:val="00907757"/>
    <w:rsid w:val="009212B0"/>
    <w:rsid w:val="00921FA1"/>
    <w:rsid w:val="009234A5"/>
    <w:rsid w:val="00925CE2"/>
    <w:rsid w:val="0093068B"/>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46843"/>
    <w:rsid w:val="00A50111"/>
    <w:rsid w:val="00A56B97"/>
    <w:rsid w:val="00A6093D"/>
    <w:rsid w:val="00A703CE"/>
    <w:rsid w:val="00A72017"/>
    <w:rsid w:val="00A767DC"/>
    <w:rsid w:val="00A76A6D"/>
    <w:rsid w:val="00A77349"/>
    <w:rsid w:val="00A83253"/>
    <w:rsid w:val="00AA06DA"/>
    <w:rsid w:val="00AA6E84"/>
    <w:rsid w:val="00AB1A1C"/>
    <w:rsid w:val="00AB4721"/>
    <w:rsid w:val="00AB7405"/>
    <w:rsid w:val="00AB75EF"/>
    <w:rsid w:val="00AB7A72"/>
    <w:rsid w:val="00AC6494"/>
    <w:rsid w:val="00AD05A8"/>
    <w:rsid w:val="00AE341B"/>
    <w:rsid w:val="00AE4EA0"/>
    <w:rsid w:val="00AF51C5"/>
    <w:rsid w:val="00B01905"/>
    <w:rsid w:val="00B07CA7"/>
    <w:rsid w:val="00B1279A"/>
    <w:rsid w:val="00B3640F"/>
    <w:rsid w:val="00B4194A"/>
    <w:rsid w:val="00B437E8"/>
    <w:rsid w:val="00B43E21"/>
    <w:rsid w:val="00B51F2C"/>
    <w:rsid w:val="00B5222E"/>
    <w:rsid w:val="00B53179"/>
    <w:rsid w:val="00B532EA"/>
    <w:rsid w:val="00B57A23"/>
    <w:rsid w:val="00B600CD"/>
    <w:rsid w:val="00B61C96"/>
    <w:rsid w:val="00B73A2A"/>
    <w:rsid w:val="00B75A51"/>
    <w:rsid w:val="00B8190D"/>
    <w:rsid w:val="00B827C6"/>
    <w:rsid w:val="00B94B06"/>
    <w:rsid w:val="00B94C28"/>
    <w:rsid w:val="00BC10BA"/>
    <w:rsid w:val="00BC5AFD"/>
    <w:rsid w:val="00C00DDE"/>
    <w:rsid w:val="00C04F43"/>
    <w:rsid w:val="00C05271"/>
    <w:rsid w:val="00C0609D"/>
    <w:rsid w:val="00C115AB"/>
    <w:rsid w:val="00C11670"/>
    <w:rsid w:val="00C26CCB"/>
    <w:rsid w:val="00C30249"/>
    <w:rsid w:val="00C35F74"/>
    <w:rsid w:val="00C3723B"/>
    <w:rsid w:val="00C42466"/>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41B5"/>
    <w:rsid w:val="00D1511D"/>
    <w:rsid w:val="00D1555A"/>
    <w:rsid w:val="00D24FA6"/>
    <w:rsid w:val="00D446EC"/>
    <w:rsid w:val="00D51BF0"/>
    <w:rsid w:val="00D531DB"/>
    <w:rsid w:val="00D55942"/>
    <w:rsid w:val="00D61B3D"/>
    <w:rsid w:val="00D807BF"/>
    <w:rsid w:val="00D82FCC"/>
    <w:rsid w:val="00D87155"/>
    <w:rsid w:val="00DA17FC"/>
    <w:rsid w:val="00DA7887"/>
    <w:rsid w:val="00DB02BD"/>
    <w:rsid w:val="00DB2C26"/>
    <w:rsid w:val="00DB45C3"/>
    <w:rsid w:val="00DD02F4"/>
    <w:rsid w:val="00DD6622"/>
    <w:rsid w:val="00DE1C7C"/>
    <w:rsid w:val="00DE2711"/>
    <w:rsid w:val="00DE6B43"/>
    <w:rsid w:val="00E041C6"/>
    <w:rsid w:val="00E04BE2"/>
    <w:rsid w:val="00E11923"/>
    <w:rsid w:val="00E207D8"/>
    <w:rsid w:val="00E262D4"/>
    <w:rsid w:val="00E36250"/>
    <w:rsid w:val="00E36841"/>
    <w:rsid w:val="00E47F2D"/>
    <w:rsid w:val="00E54511"/>
    <w:rsid w:val="00E60EDC"/>
    <w:rsid w:val="00E61DAC"/>
    <w:rsid w:val="00E72B80"/>
    <w:rsid w:val="00E75FE3"/>
    <w:rsid w:val="00E86C4C"/>
    <w:rsid w:val="00E907A3"/>
    <w:rsid w:val="00EA5AE0"/>
    <w:rsid w:val="00EB56E1"/>
    <w:rsid w:val="00EB7AB1"/>
    <w:rsid w:val="00EC32BD"/>
    <w:rsid w:val="00EC57A7"/>
    <w:rsid w:val="00ED536F"/>
    <w:rsid w:val="00EE7CD8"/>
    <w:rsid w:val="00EF37F6"/>
    <w:rsid w:val="00EF48CC"/>
    <w:rsid w:val="00F00801"/>
    <w:rsid w:val="00F2488D"/>
    <w:rsid w:val="00F3297E"/>
    <w:rsid w:val="00F519D5"/>
    <w:rsid w:val="00F601A0"/>
    <w:rsid w:val="00F712E9"/>
    <w:rsid w:val="00F73032"/>
    <w:rsid w:val="00F82AD3"/>
    <w:rsid w:val="00F848FC"/>
    <w:rsid w:val="00F906F6"/>
    <w:rsid w:val="00F9282A"/>
    <w:rsid w:val="00F96BAD"/>
    <w:rsid w:val="00FA139D"/>
    <w:rsid w:val="00FA60F5"/>
    <w:rsid w:val="00FB0E84"/>
    <w:rsid w:val="00FC2405"/>
    <w:rsid w:val="00FD01C2"/>
    <w:rsid w:val="00FD0BC5"/>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character" w:styleId="ac">
    <w:name w:val="Unresolved Mention"/>
    <w:basedOn w:val="a0"/>
    <w:uiPriority w:val="99"/>
    <w:semiHidden/>
    <w:unhideWhenUsed/>
    <w:rsid w:val="008C60F8"/>
    <w:rPr>
      <w:color w:val="605E5C"/>
      <w:shd w:val="clear" w:color="auto" w:fill="E1DFDD"/>
    </w:rPr>
  </w:style>
  <w:style w:type="paragraph" w:styleId="ad">
    <w:name w:val="caption"/>
    <w:basedOn w:val="a"/>
    <w:next w:val="a"/>
    <w:unhideWhenUsed/>
    <w:qFormat/>
    <w:rsid w:val="00EC57A7"/>
    <w:rPr>
      <w:b/>
      <w:bCs/>
      <w:sz w:val="21"/>
      <w:szCs w:val="21"/>
    </w:rPr>
  </w:style>
  <w:style w:type="paragraph" w:styleId="ae">
    <w:name w:val="List Paragraph"/>
    <w:basedOn w:val="a"/>
    <w:link w:val="af"/>
    <w:uiPriority w:val="34"/>
    <w:qFormat/>
    <w:rsid w:val="00AB7A72"/>
    <w:pPr>
      <w:ind w:firstLineChars="200" w:firstLine="420"/>
    </w:pPr>
  </w:style>
  <w:style w:type="character" w:customStyle="1" w:styleId="af">
    <w:name w:val="列表段落 字符"/>
    <w:link w:val="ae"/>
    <w:uiPriority w:val="34"/>
    <w:rsid w:val="00AB7A72"/>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60970">
      <w:bodyDiv w:val="1"/>
      <w:marLeft w:val="0"/>
      <w:marRight w:val="0"/>
      <w:marTop w:val="0"/>
      <w:marBottom w:val="0"/>
      <w:divBdr>
        <w:top w:val="none" w:sz="0" w:space="0" w:color="auto"/>
        <w:left w:val="none" w:sz="0" w:space="0" w:color="auto"/>
        <w:bottom w:val="none" w:sz="0" w:space="0" w:color="auto"/>
        <w:right w:val="none" w:sz="0" w:space="0" w:color="auto"/>
      </w:divBdr>
    </w:div>
    <w:div w:id="143934811">
      <w:bodyDiv w:val="1"/>
      <w:marLeft w:val="0"/>
      <w:marRight w:val="0"/>
      <w:marTop w:val="0"/>
      <w:marBottom w:val="0"/>
      <w:divBdr>
        <w:top w:val="none" w:sz="0" w:space="0" w:color="auto"/>
        <w:left w:val="none" w:sz="0" w:space="0" w:color="auto"/>
        <w:bottom w:val="none" w:sz="0" w:space="0" w:color="auto"/>
        <w:right w:val="none" w:sz="0" w:space="0" w:color="auto"/>
      </w:divBdr>
    </w:div>
    <w:div w:id="256134999">
      <w:bodyDiv w:val="1"/>
      <w:marLeft w:val="0"/>
      <w:marRight w:val="0"/>
      <w:marTop w:val="0"/>
      <w:marBottom w:val="0"/>
      <w:divBdr>
        <w:top w:val="none" w:sz="0" w:space="0" w:color="auto"/>
        <w:left w:val="none" w:sz="0" w:space="0" w:color="auto"/>
        <w:bottom w:val="none" w:sz="0" w:space="0" w:color="auto"/>
        <w:right w:val="none" w:sz="0" w:space="0" w:color="auto"/>
      </w:divBdr>
    </w:div>
    <w:div w:id="647974637">
      <w:bodyDiv w:val="1"/>
      <w:marLeft w:val="0"/>
      <w:marRight w:val="0"/>
      <w:marTop w:val="0"/>
      <w:marBottom w:val="0"/>
      <w:divBdr>
        <w:top w:val="none" w:sz="0" w:space="0" w:color="auto"/>
        <w:left w:val="none" w:sz="0" w:space="0" w:color="auto"/>
        <w:bottom w:val="none" w:sz="0" w:space="0" w:color="auto"/>
        <w:right w:val="none" w:sz="0" w:space="0" w:color="auto"/>
      </w:divBdr>
    </w:div>
    <w:div w:id="869336455">
      <w:bodyDiv w:val="1"/>
      <w:marLeft w:val="0"/>
      <w:marRight w:val="0"/>
      <w:marTop w:val="0"/>
      <w:marBottom w:val="0"/>
      <w:divBdr>
        <w:top w:val="none" w:sz="0" w:space="0" w:color="auto"/>
        <w:left w:val="none" w:sz="0" w:space="0" w:color="auto"/>
        <w:bottom w:val="none" w:sz="0" w:space="0" w:color="auto"/>
        <w:right w:val="none" w:sz="0" w:space="0" w:color="auto"/>
      </w:divBdr>
    </w:div>
    <w:div w:id="1180465566">
      <w:bodyDiv w:val="1"/>
      <w:marLeft w:val="0"/>
      <w:marRight w:val="0"/>
      <w:marTop w:val="0"/>
      <w:marBottom w:val="0"/>
      <w:divBdr>
        <w:top w:val="none" w:sz="0" w:space="0" w:color="auto"/>
        <w:left w:val="none" w:sz="0" w:space="0" w:color="auto"/>
        <w:bottom w:val="none" w:sz="0" w:space="0" w:color="auto"/>
        <w:right w:val="none" w:sz="0" w:space="0" w:color="auto"/>
      </w:divBdr>
    </w:div>
    <w:div w:id="1575313601">
      <w:bodyDiv w:val="1"/>
      <w:marLeft w:val="0"/>
      <w:marRight w:val="0"/>
      <w:marTop w:val="0"/>
      <w:marBottom w:val="0"/>
      <w:divBdr>
        <w:top w:val="none" w:sz="0" w:space="0" w:color="auto"/>
        <w:left w:val="none" w:sz="0" w:space="0" w:color="auto"/>
        <w:bottom w:val="none" w:sz="0" w:space="0" w:color="auto"/>
        <w:right w:val="none" w:sz="0" w:space="0" w:color="auto"/>
      </w:divBdr>
    </w:div>
    <w:div w:id="162577227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5320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xingfang@hisense.com" TargetMode="Externa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libin19@hisense.com"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mailto:wangzhikui@hisense.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zhyang@mail.xidian.edu.cn" TargetMode="External"/><Relationship Id="rId5" Type="http://schemas.openxmlformats.org/officeDocument/2006/relationships/footnotes" Target="footnotes.xml"/><Relationship Id="rId15" Type="http://schemas.openxmlformats.org/officeDocument/2006/relationships/hyperlink" Target="mailto:wangzhikui@hisense.com" TargetMode="External"/><Relationship Id="rId10" Type="http://schemas.openxmlformats.org/officeDocument/2006/relationships/hyperlink" Target="mailto:wzhang@xidian.edu.cn"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xuruichen@stu.xidian.edu.cn" TargetMode="External"/><Relationship Id="rId14" Type="http://schemas.openxmlformats.org/officeDocument/2006/relationships/hyperlink" Target="mailto:hanpengfei4@hisens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3</Pages>
  <Words>849</Words>
  <Characters>4840</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5678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RuichenXu</cp:lastModifiedBy>
  <cp:revision>23</cp:revision>
  <cp:lastPrinted>1900-01-01T08:00:00Z</cp:lastPrinted>
  <dcterms:created xsi:type="dcterms:W3CDTF">2025-04-07T18:44:00Z</dcterms:created>
  <dcterms:modified xsi:type="dcterms:W3CDTF">2025-06-22T08:14:00Z</dcterms:modified>
</cp:coreProperties>
</file>